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42A4A">
      <w:pPr>
        <w:pStyle w:val="2"/>
        <w:spacing w:before="74" w:line="333" w:lineRule="auto"/>
        <w:ind w:left="4509" w:right="633" w:hanging="3873"/>
        <w:outlineLvl w:val="0"/>
        <w:rPr>
          <w:rFonts w:ascii="宋体" w:hAnsi="宋体" w:eastAsia="宋体" w:cs="宋体"/>
          <w:color w:val="auto"/>
          <w:sz w:val="35"/>
          <w:szCs w:val="35"/>
        </w:rPr>
      </w:pPr>
      <w:r>
        <w:rPr>
          <w:color w:val="auto"/>
          <w:spacing w:val="7"/>
          <w:sz w:val="35"/>
          <w:szCs w:val="35"/>
        </w:rPr>
        <w:t>鄂州市自然资源和规划局鄂城分局</w:t>
      </w:r>
      <w:r>
        <w:rPr>
          <w:color w:val="auto"/>
          <w:spacing w:val="-61"/>
          <w:sz w:val="35"/>
          <w:szCs w:val="35"/>
        </w:rPr>
        <w:t xml:space="preserve"> </w:t>
      </w:r>
      <w:r>
        <w:rPr>
          <w:color w:val="auto"/>
          <w:spacing w:val="7"/>
          <w:sz w:val="35"/>
          <w:szCs w:val="35"/>
        </w:rPr>
        <w:t>202</w:t>
      </w:r>
      <w:r>
        <w:rPr>
          <w:rFonts w:hint="eastAsia"/>
          <w:color w:val="auto"/>
          <w:spacing w:val="7"/>
          <w:sz w:val="35"/>
          <w:szCs w:val="35"/>
          <w:lang w:val="en-US" w:eastAsia="zh-CN"/>
        </w:rPr>
        <w:t>3</w:t>
      </w:r>
      <w:r>
        <w:rPr>
          <w:color w:val="auto"/>
          <w:spacing w:val="-71"/>
          <w:sz w:val="35"/>
          <w:szCs w:val="35"/>
        </w:rPr>
        <w:t xml:space="preserve"> </w:t>
      </w:r>
      <w:r>
        <w:rPr>
          <w:color w:val="auto"/>
          <w:spacing w:val="7"/>
          <w:sz w:val="35"/>
          <w:szCs w:val="35"/>
        </w:rPr>
        <w:t>年度部门决算</w:t>
      </w:r>
      <w:r>
        <w:rPr>
          <w:color w:val="auto"/>
          <w:sz w:val="35"/>
          <w:szCs w:val="35"/>
        </w:rPr>
        <w:t xml:space="preserve"> </w:t>
      </w:r>
      <w:r>
        <w:rPr>
          <w:rFonts w:ascii="宋体" w:hAnsi="宋体" w:eastAsia="宋体" w:cs="宋体"/>
          <w:b/>
          <w:bCs/>
          <w:color w:val="auto"/>
          <w:spacing w:val="-29"/>
          <w:sz w:val="35"/>
          <w:szCs w:val="35"/>
        </w:rPr>
        <w:t>目</w:t>
      </w:r>
      <w:r>
        <w:rPr>
          <w:rFonts w:ascii="宋体" w:hAnsi="宋体" w:eastAsia="宋体" w:cs="宋体"/>
          <w:color w:val="auto"/>
          <w:spacing w:val="7"/>
          <w:sz w:val="35"/>
          <w:szCs w:val="35"/>
        </w:rPr>
        <w:t xml:space="preserve">    </w:t>
      </w:r>
      <w:r>
        <w:rPr>
          <w:rFonts w:ascii="宋体" w:hAnsi="宋体" w:eastAsia="宋体" w:cs="宋体"/>
          <w:b/>
          <w:bCs/>
          <w:color w:val="auto"/>
          <w:spacing w:val="-29"/>
          <w:sz w:val="35"/>
          <w:szCs w:val="35"/>
        </w:rPr>
        <w:t>录</w:t>
      </w:r>
    </w:p>
    <w:p w14:paraId="5F006E3C">
      <w:pPr>
        <w:spacing w:line="382" w:lineRule="auto"/>
        <w:rPr>
          <w:rFonts w:ascii="Arial"/>
          <w:color w:val="auto"/>
          <w:sz w:val="21"/>
        </w:rPr>
      </w:pPr>
    </w:p>
    <w:p w14:paraId="27E0037A">
      <w:pPr>
        <w:pStyle w:val="2"/>
        <w:spacing w:before="101" w:line="226" w:lineRule="auto"/>
        <w:ind w:left="640"/>
        <w:rPr>
          <w:color w:val="auto"/>
        </w:rPr>
      </w:pPr>
      <w:r>
        <w:rPr>
          <w:color w:val="auto"/>
          <w:spacing w:val="8"/>
        </w:rPr>
        <w:t>第一部分</w:t>
      </w:r>
      <w:r>
        <w:rPr>
          <w:color w:val="auto"/>
          <w:spacing w:val="118"/>
        </w:rPr>
        <w:t xml:space="preserve"> </w:t>
      </w:r>
      <w:r>
        <w:rPr>
          <w:color w:val="auto"/>
          <w:spacing w:val="8"/>
        </w:rPr>
        <w:t>鄂州市自然资源和规划局鄂城分局概况</w:t>
      </w:r>
    </w:p>
    <w:p w14:paraId="09DC756D">
      <w:pPr>
        <w:spacing w:line="276" w:lineRule="auto"/>
        <w:rPr>
          <w:rFonts w:ascii="Arial"/>
          <w:color w:val="auto"/>
          <w:sz w:val="21"/>
        </w:rPr>
      </w:pPr>
    </w:p>
    <w:p w14:paraId="4175EFFE">
      <w:pPr>
        <w:spacing w:before="100" w:line="227" w:lineRule="auto"/>
        <w:ind w:left="654"/>
        <w:rPr>
          <w:rFonts w:ascii="仿宋" w:hAnsi="仿宋" w:eastAsia="仿宋" w:cs="仿宋"/>
          <w:color w:val="auto"/>
          <w:sz w:val="31"/>
          <w:szCs w:val="31"/>
        </w:rPr>
      </w:pPr>
      <w:r>
        <w:rPr>
          <w:rFonts w:ascii="仿宋" w:hAnsi="仿宋" w:eastAsia="仿宋" w:cs="仿宋"/>
          <w:color w:val="auto"/>
          <w:spacing w:val="6"/>
          <w:sz w:val="31"/>
          <w:szCs w:val="31"/>
        </w:rPr>
        <w:t>一、部门主要职责</w:t>
      </w:r>
    </w:p>
    <w:p w14:paraId="439C0CF8">
      <w:pPr>
        <w:spacing w:before="242" w:line="228" w:lineRule="auto"/>
        <w:ind w:left="659"/>
        <w:rPr>
          <w:rFonts w:ascii="仿宋" w:hAnsi="仿宋" w:eastAsia="仿宋" w:cs="仿宋"/>
          <w:color w:val="auto"/>
          <w:sz w:val="31"/>
          <w:szCs w:val="31"/>
        </w:rPr>
      </w:pPr>
      <w:r>
        <w:rPr>
          <w:rFonts w:ascii="仿宋" w:hAnsi="仿宋" w:eastAsia="仿宋" w:cs="仿宋"/>
          <w:color w:val="auto"/>
          <w:spacing w:val="5"/>
          <w:sz w:val="31"/>
          <w:szCs w:val="31"/>
        </w:rPr>
        <w:t>二、机构设置情况</w:t>
      </w:r>
    </w:p>
    <w:p w14:paraId="7450C9E1">
      <w:pPr>
        <w:rPr>
          <w:rFonts w:ascii="Arial"/>
          <w:color w:val="auto"/>
          <w:sz w:val="21"/>
        </w:rPr>
      </w:pPr>
    </w:p>
    <w:p w14:paraId="5649F33A">
      <w:pPr>
        <w:spacing w:line="241" w:lineRule="auto"/>
        <w:rPr>
          <w:rFonts w:ascii="Arial"/>
          <w:color w:val="auto"/>
          <w:sz w:val="21"/>
        </w:rPr>
      </w:pPr>
    </w:p>
    <w:p w14:paraId="3638F653">
      <w:pPr>
        <w:pStyle w:val="2"/>
        <w:spacing w:before="101" w:line="357" w:lineRule="auto"/>
        <w:ind w:left="5" w:firstLine="635"/>
        <w:rPr>
          <w:color w:val="auto"/>
        </w:rPr>
      </w:pPr>
      <w:r>
        <w:rPr>
          <w:color w:val="auto"/>
          <w:spacing w:val="8"/>
        </w:rPr>
        <w:t>第二部分</w:t>
      </w:r>
      <w:r>
        <w:rPr>
          <w:color w:val="auto"/>
          <w:spacing w:val="127"/>
        </w:rPr>
        <w:t xml:space="preserve"> </w:t>
      </w:r>
      <w:r>
        <w:rPr>
          <w:color w:val="auto"/>
          <w:spacing w:val="8"/>
        </w:rPr>
        <w:t>鄂州市自然资源和规划局鄂城分局</w:t>
      </w:r>
      <w:r>
        <w:rPr>
          <w:color w:val="auto"/>
          <w:spacing w:val="-61"/>
        </w:rPr>
        <w:t xml:space="preserve"> </w:t>
      </w:r>
      <w:r>
        <w:rPr>
          <w:color w:val="auto"/>
          <w:spacing w:val="8"/>
        </w:rPr>
        <w:t>202</w:t>
      </w:r>
      <w:r>
        <w:rPr>
          <w:rFonts w:hint="eastAsia"/>
          <w:color w:val="auto"/>
          <w:spacing w:val="8"/>
          <w:lang w:val="en-US" w:eastAsia="zh-CN"/>
        </w:rPr>
        <w:t>3</w:t>
      </w:r>
      <w:r>
        <w:rPr>
          <w:color w:val="auto"/>
          <w:spacing w:val="-61"/>
        </w:rPr>
        <w:t xml:space="preserve"> </w:t>
      </w:r>
      <w:r>
        <w:rPr>
          <w:color w:val="auto"/>
          <w:spacing w:val="8"/>
        </w:rPr>
        <w:t>年度部门决算</w:t>
      </w:r>
      <w:r>
        <w:rPr>
          <w:color w:val="auto"/>
        </w:rPr>
        <w:t xml:space="preserve"> 表</w:t>
      </w:r>
    </w:p>
    <w:p w14:paraId="3D813FCB">
      <w:pPr>
        <w:spacing w:before="288" w:line="227" w:lineRule="auto"/>
        <w:ind w:left="654"/>
        <w:rPr>
          <w:rFonts w:ascii="仿宋" w:hAnsi="仿宋" w:eastAsia="仿宋" w:cs="仿宋"/>
          <w:color w:val="auto"/>
          <w:sz w:val="31"/>
          <w:szCs w:val="31"/>
        </w:rPr>
      </w:pPr>
      <w:r>
        <w:rPr>
          <w:rFonts w:ascii="仿宋" w:hAnsi="仿宋" w:eastAsia="仿宋" w:cs="仿宋"/>
          <w:color w:val="auto"/>
          <w:spacing w:val="7"/>
          <w:sz w:val="31"/>
          <w:szCs w:val="31"/>
        </w:rPr>
        <w:t>一、收入支出决算总表</w:t>
      </w:r>
    </w:p>
    <w:p w14:paraId="168E5F1F">
      <w:pPr>
        <w:spacing w:before="243" w:line="227" w:lineRule="auto"/>
        <w:ind w:left="659"/>
        <w:rPr>
          <w:rFonts w:ascii="仿宋" w:hAnsi="仿宋" w:eastAsia="仿宋" w:cs="仿宋"/>
          <w:color w:val="auto"/>
          <w:sz w:val="31"/>
          <w:szCs w:val="31"/>
        </w:rPr>
      </w:pPr>
      <w:r>
        <w:rPr>
          <w:rFonts w:ascii="仿宋" w:hAnsi="仿宋" w:eastAsia="仿宋" w:cs="仿宋"/>
          <w:color w:val="auto"/>
          <w:spacing w:val="5"/>
          <w:sz w:val="31"/>
          <w:szCs w:val="31"/>
        </w:rPr>
        <w:t>二、收入决算表</w:t>
      </w:r>
    </w:p>
    <w:p w14:paraId="2F318DE6">
      <w:pPr>
        <w:spacing w:before="243" w:line="227" w:lineRule="auto"/>
        <w:ind w:left="658"/>
        <w:rPr>
          <w:rFonts w:ascii="仿宋" w:hAnsi="仿宋" w:eastAsia="仿宋" w:cs="仿宋"/>
          <w:color w:val="auto"/>
          <w:sz w:val="31"/>
          <w:szCs w:val="31"/>
        </w:rPr>
      </w:pPr>
      <w:r>
        <w:rPr>
          <w:rFonts w:ascii="仿宋" w:hAnsi="仿宋" w:eastAsia="仿宋" w:cs="仿宋"/>
          <w:color w:val="auto"/>
          <w:spacing w:val="5"/>
          <w:sz w:val="31"/>
          <w:szCs w:val="31"/>
        </w:rPr>
        <w:t>三、支出决算表</w:t>
      </w:r>
    </w:p>
    <w:p w14:paraId="50E3D6DD">
      <w:pPr>
        <w:spacing w:before="243" w:line="227" w:lineRule="auto"/>
        <w:ind w:left="687"/>
        <w:rPr>
          <w:rFonts w:ascii="仿宋" w:hAnsi="仿宋" w:eastAsia="仿宋" w:cs="仿宋"/>
          <w:color w:val="auto"/>
          <w:sz w:val="31"/>
          <w:szCs w:val="31"/>
        </w:rPr>
      </w:pPr>
      <w:r>
        <w:rPr>
          <w:rFonts w:ascii="仿宋" w:hAnsi="仿宋" w:eastAsia="仿宋" w:cs="仿宋"/>
          <w:color w:val="auto"/>
          <w:spacing w:val="5"/>
          <w:sz w:val="31"/>
          <w:szCs w:val="31"/>
        </w:rPr>
        <w:t>四、财政拨款收入支出决算总表</w:t>
      </w:r>
    </w:p>
    <w:p w14:paraId="2D03B5ED">
      <w:pPr>
        <w:spacing w:before="242" w:line="227" w:lineRule="auto"/>
        <w:ind w:left="654"/>
        <w:rPr>
          <w:rFonts w:ascii="仿宋" w:hAnsi="仿宋" w:eastAsia="仿宋" w:cs="仿宋"/>
          <w:color w:val="auto"/>
          <w:sz w:val="31"/>
          <w:szCs w:val="31"/>
        </w:rPr>
      </w:pPr>
      <w:r>
        <w:rPr>
          <w:rFonts w:ascii="仿宋" w:hAnsi="仿宋" w:eastAsia="仿宋" w:cs="仿宋"/>
          <w:color w:val="auto"/>
          <w:spacing w:val="8"/>
          <w:sz w:val="31"/>
          <w:szCs w:val="31"/>
        </w:rPr>
        <w:t>五、一般公共预算财政拨款支出决算表</w:t>
      </w:r>
    </w:p>
    <w:p w14:paraId="77360319">
      <w:pPr>
        <w:spacing w:before="243" w:line="227" w:lineRule="auto"/>
        <w:ind w:left="651"/>
        <w:rPr>
          <w:rFonts w:ascii="仿宋" w:hAnsi="仿宋" w:eastAsia="仿宋" w:cs="仿宋"/>
          <w:color w:val="auto"/>
          <w:sz w:val="31"/>
          <w:szCs w:val="31"/>
        </w:rPr>
      </w:pPr>
      <w:r>
        <w:rPr>
          <w:rFonts w:ascii="仿宋" w:hAnsi="仿宋" w:eastAsia="仿宋" w:cs="仿宋"/>
          <w:color w:val="auto"/>
          <w:spacing w:val="8"/>
          <w:sz w:val="31"/>
          <w:szCs w:val="31"/>
        </w:rPr>
        <w:t>六、一般公共预算财政拨款基本支出决算明细表</w:t>
      </w:r>
    </w:p>
    <w:p w14:paraId="409FD198">
      <w:pPr>
        <w:spacing w:before="242" w:line="226" w:lineRule="auto"/>
        <w:ind w:left="655"/>
        <w:rPr>
          <w:rFonts w:ascii="仿宋" w:hAnsi="仿宋" w:eastAsia="仿宋" w:cs="仿宋"/>
          <w:color w:val="auto"/>
          <w:sz w:val="31"/>
          <w:szCs w:val="31"/>
        </w:rPr>
      </w:pPr>
      <w:r>
        <w:rPr>
          <w:rFonts w:ascii="仿宋" w:hAnsi="仿宋" w:eastAsia="仿宋" w:cs="仿宋"/>
          <w:color w:val="auto"/>
          <w:spacing w:val="8"/>
          <w:sz w:val="31"/>
          <w:szCs w:val="31"/>
        </w:rPr>
        <w:t>七、政府性基金预算财政拨款收入支出决算表</w:t>
      </w:r>
    </w:p>
    <w:p w14:paraId="2EC18274">
      <w:pPr>
        <w:spacing w:before="246" w:line="227" w:lineRule="auto"/>
        <w:ind w:left="648"/>
        <w:rPr>
          <w:rFonts w:ascii="仿宋" w:hAnsi="仿宋" w:eastAsia="仿宋" w:cs="仿宋"/>
          <w:color w:val="auto"/>
          <w:sz w:val="31"/>
          <w:szCs w:val="31"/>
        </w:rPr>
      </w:pPr>
      <w:r>
        <w:rPr>
          <w:rFonts w:ascii="仿宋" w:hAnsi="仿宋" w:eastAsia="仿宋" w:cs="仿宋"/>
          <w:color w:val="auto"/>
          <w:spacing w:val="5"/>
          <w:sz w:val="31"/>
          <w:szCs w:val="31"/>
        </w:rPr>
        <w:t>八、</w:t>
      </w:r>
      <w:r>
        <w:rPr>
          <w:rFonts w:ascii="仿宋" w:hAnsi="仿宋" w:eastAsia="仿宋" w:cs="仿宋"/>
          <w:color w:val="auto"/>
          <w:spacing w:val="-83"/>
          <w:sz w:val="31"/>
          <w:szCs w:val="31"/>
        </w:rPr>
        <w:t xml:space="preserve"> </w:t>
      </w:r>
      <w:r>
        <w:rPr>
          <w:rFonts w:ascii="仿宋" w:hAnsi="仿宋" w:eastAsia="仿宋" w:cs="仿宋"/>
          <w:color w:val="auto"/>
          <w:spacing w:val="5"/>
          <w:sz w:val="31"/>
          <w:szCs w:val="31"/>
        </w:rPr>
        <w:t>国有资本经营预算财政拨款支出决算表</w:t>
      </w:r>
    </w:p>
    <w:p w14:paraId="559223B3">
      <w:pPr>
        <w:spacing w:before="242" w:line="227" w:lineRule="auto"/>
        <w:ind w:left="660"/>
        <w:rPr>
          <w:rFonts w:ascii="仿宋" w:hAnsi="仿宋" w:eastAsia="仿宋" w:cs="仿宋"/>
          <w:color w:val="auto"/>
          <w:sz w:val="31"/>
          <w:szCs w:val="31"/>
        </w:rPr>
      </w:pPr>
      <w:r>
        <w:rPr>
          <w:rFonts w:ascii="仿宋" w:hAnsi="仿宋" w:eastAsia="仿宋" w:cs="仿宋"/>
          <w:color w:val="auto"/>
          <w:spacing w:val="5"/>
          <w:sz w:val="31"/>
          <w:szCs w:val="31"/>
        </w:rPr>
        <w:t>九、财政拨款“三公</w:t>
      </w:r>
      <w:r>
        <w:rPr>
          <w:rFonts w:ascii="仿宋" w:hAnsi="仿宋" w:eastAsia="仿宋" w:cs="仿宋"/>
          <w:color w:val="auto"/>
          <w:spacing w:val="-106"/>
          <w:sz w:val="31"/>
          <w:szCs w:val="31"/>
        </w:rPr>
        <w:t xml:space="preserve"> </w:t>
      </w:r>
      <w:r>
        <w:rPr>
          <w:rFonts w:ascii="仿宋" w:hAnsi="仿宋" w:eastAsia="仿宋" w:cs="仿宋"/>
          <w:color w:val="auto"/>
          <w:spacing w:val="5"/>
          <w:sz w:val="31"/>
          <w:szCs w:val="31"/>
        </w:rPr>
        <w:t>”经费支出决算表</w:t>
      </w:r>
    </w:p>
    <w:p w14:paraId="3A5991A3">
      <w:pPr>
        <w:spacing w:line="250" w:lineRule="auto"/>
        <w:rPr>
          <w:rFonts w:ascii="Arial"/>
          <w:color w:val="auto"/>
          <w:sz w:val="21"/>
        </w:rPr>
      </w:pPr>
    </w:p>
    <w:p w14:paraId="203ED4F9">
      <w:pPr>
        <w:spacing w:line="250" w:lineRule="auto"/>
        <w:rPr>
          <w:rFonts w:ascii="Arial"/>
          <w:color w:val="auto"/>
          <w:sz w:val="21"/>
        </w:rPr>
      </w:pPr>
    </w:p>
    <w:p w14:paraId="3DF0E07F">
      <w:pPr>
        <w:spacing w:line="250" w:lineRule="auto"/>
        <w:rPr>
          <w:rFonts w:ascii="Arial"/>
          <w:color w:val="auto"/>
          <w:sz w:val="21"/>
        </w:rPr>
      </w:pPr>
    </w:p>
    <w:p w14:paraId="196B47AF">
      <w:pPr>
        <w:spacing w:line="250" w:lineRule="auto"/>
        <w:rPr>
          <w:rFonts w:ascii="Arial"/>
          <w:color w:val="auto"/>
          <w:sz w:val="21"/>
        </w:rPr>
      </w:pPr>
    </w:p>
    <w:p w14:paraId="05301760">
      <w:pPr>
        <w:pStyle w:val="2"/>
        <w:spacing w:before="102" w:line="356" w:lineRule="auto"/>
        <w:ind w:firstLine="640"/>
        <w:rPr>
          <w:color w:val="auto"/>
        </w:rPr>
      </w:pPr>
      <w:r>
        <w:rPr>
          <w:color w:val="auto"/>
          <w:spacing w:val="8"/>
        </w:rPr>
        <w:t>第三部分</w:t>
      </w:r>
      <w:r>
        <w:rPr>
          <w:color w:val="auto"/>
          <w:spacing w:val="127"/>
        </w:rPr>
        <w:t xml:space="preserve"> </w:t>
      </w:r>
      <w:r>
        <w:rPr>
          <w:color w:val="auto"/>
          <w:spacing w:val="8"/>
        </w:rPr>
        <w:t>鄂州市自然资源和规划局鄂城分局</w:t>
      </w:r>
      <w:r>
        <w:rPr>
          <w:color w:val="auto"/>
          <w:spacing w:val="-61"/>
        </w:rPr>
        <w:t xml:space="preserve"> </w:t>
      </w:r>
      <w:r>
        <w:rPr>
          <w:color w:val="auto"/>
          <w:spacing w:val="8"/>
        </w:rPr>
        <w:t>202</w:t>
      </w:r>
      <w:r>
        <w:rPr>
          <w:rFonts w:hint="eastAsia"/>
          <w:color w:val="auto"/>
          <w:spacing w:val="8"/>
          <w:lang w:val="en-US" w:eastAsia="zh-CN"/>
        </w:rPr>
        <w:t>3</w:t>
      </w:r>
      <w:r>
        <w:rPr>
          <w:color w:val="auto"/>
          <w:spacing w:val="8"/>
        </w:rPr>
        <w:t>年度部门决算</w:t>
      </w:r>
      <w:r>
        <w:rPr>
          <w:color w:val="auto"/>
        </w:rPr>
        <w:t xml:space="preserve"> </w:t>
      </w:r>
      <w:r>
        <w:rPr>
          <w:color w:val="auto"/>
          <w:spacing w:val="6"/>
        </w:rPr>
        <w:t>情况说明</w:t>
      </w:r>
    </w:p>
    <w:p w14:paraId="13B45A65">
      <w:pPr>
        <w:spacing w:before="291" w:line="227" w:lineRule="auto"/>
        <w:ind w:left="654"/>
        <w:rPr>
          <w:rFonts w:ascii="仿宋" w:hAnsi="仿宋" w:eastAsia="仿宋" w:cs="仿宋"/>
          <w:color w:val="auto"/>
          <w:sz w:val="31"/>
          <w:szCs w:val="31"/>
        </w:rPr>
      </w:pPr>
      <w:r>
        <w:rPr>
          <w:rFonts w:ascii="仿宋" w:hAnsi="仿宋" w:eastAsia="仿宋" w:cs="仿宋"/>
          <w:color w:val="auto"/>
          <w:spacing w:val="7"/>
          <w:sz w:val="31"/>
          <w:szCs w:val="31"/>
        </w:rPr>
        <w:t>一、收入支出决算总体情况说明</w:t>
      </w:r>
    </w:p>
    <w:p w14:paraId="085AFF60">
      <w:pPr>
        <w:spacing w:line="227" w:lineRule="auto"/>
        <w:rPr>
          <w:rFonts w:ascii="仿宋" w:hAnsi="仿宋" w:eastAsia="仿宋" w:cs="仿宋"/>
          <w:color w:val="auto"/>
          <w:sz w:val="31"/>
          <w:szCs w:val="31"/>
        </w:rPr>
        <w:sectPr>
          <w:footerReference r:id="rId5" w:type="default"/>
          <w:pgSz w:w="11906" w:h="16839"/>
          <w:pgMar w:top="1250" w:right="1442" w:bottom="1156" w:left="749" w:header="0" w:footer="994" w:gutter="0"/>
          <w:pgBorders>
            <w:top w:val="none" w:sz="0" w:space="0"/>
            <w:left w:val="none" w:sz="0" w:space="0"/>
            <w:bottom w:val="none" w:sz="0" w:space="0"/>
            <w:right w:val="none" w:sz="0" w:space="0"/>
          </w:pgBorders>
          <w:cols w:space="720" w:num="1"/>
        </w:sectPr>
      </w:pPr>
    </w:p>
    <w:p w14:paraId="035BE0B7">
      <w:pPr>
        <w:spacing w:before="65" w:line="227" w:lineRule="auto"/>
        <w:ind w:left="645"/>
        <w:rPr>
          <w:rFonts w:ascii="仿宋" w:hAnsi="仿宋" w:eastAsia="仿宋" w:cs="仿宋"/>
          <w:color w:val="auto"/>
          <w:sz w:val="31"/>
          <w:szCs w:val="31"/>
        </w:rPr>
      </w:pPr>
      <w:r>
        <w:rPr>
          <w:rFonts w:ascii="仿宋" w:hAnsi="仿宋" w:eastAsia="仿宋" w:cs="仿宋"/>
          <w:color w:val="auto"/>
          <w:spacing w:val="6"/>
          <w:sz w:val="31"/>
          <w:szCs w:val="31"/>
        </w:rPr>
        <w:t>二、收入决算情况说明</w:t>
      </w:r>
    </w:p>
    <w:p w14:paraId="1D160B0C">
      <w:pPr>
        <w:spacing w:before="242" w:line="227" w:lineRule="auto"/>
        <w:ind w:left="644"/>
        <w:rPr>
          <w:rFonts w:ascii="仿宋" w:hAnsi="仿宋" w:eastAsia="仿宋" w:cs="仿宋"/>
          <w:color w:val="auto"/>
          <w:sz w:val="31"/>
          <w:szCs w:val="31"/>
        </w:rPr>
      </w:pPr>
      <w:r>
        <w:rPr>
          <w:rFonts w:ascii="仿宋" w:hAnsi="仿宋" w:eastAsia="仿宋" w:cs="仿宋"/>
          <w:color w:val="auto"/>
          <w:spacing w:val="6"/>
          <w:sz w:val="31"/>
          <w:szCs w:val="31"/>
        </w:rPr>
        <w:t>三、支出决算情况说明</w:t>
      </w:r>
    </w:p>
    <w:p w14:paraId="51DEA6D9">
      <w:pPr>
        <w:spacing w:before="242" w:line="227" w:lineRule="auto"/>
        <w:ind w:left="673"/>
        <w:rPr>
          <w:rFonts w:ascii="仿宋" w:hAnsi="仿宋" w:eastAsia="仿宋" w:cs="仿宋"/>
          <w:color w:val="auto"/>
          <w:sz w:val="31"/>
          <w:szCs w:val="31"/>
        </w:rPr>
      </w:pPr>
      <w:r>
        <w:rPr>
          <w:rFonts w:ascii="仿宋" w:hAnsi="仿宋" w:eastAsia="仿宋" w:cs="仿宋"/>
          <w:color w:val="auto"/>
          <w:spacing w:val="6"/>
          <w:sz w:val="31"/>
          <w:szCs w:val="31"/>
        </w:rPr>
        <w:t>四、财政拨款收入支出决算总体情况说明</w:t>
      </w:r>
    </w:p>
    <w:p w14:paraId="5AC96DE6">
      <w:pPr>
        <w:spacing w:before="242" w:line="227" w:lineRule="auto"/>
        <w:ind w:left="640"/>
        <w:rPr>
          <w:rFonts w:ascii="仿宋" w:hAnsi="仿宋" w:eastAsia="仿宋" w:cs="仿宋"/>
          <w:color w:val="auto"/>
          <w:sz w:val="31"/>
          <w:szCs w:val="31"/>
        </w:rPr>
      </w:pPr>
      <w:r>
        <w:rPr>
          <w:rFonts w:ascii="仿宋" w:hAnsi="仿宋" w:eastAsia="仿宋" w:cs="仿宋"/>
          <w:color w:val="auto"/>
          <w:spacing w:val="8"/>
          <w:sz w:val="31"/>
          <w:szCs w:val="31"/>
        </w:rPr>
        <w:t>五、一般公共预算财政拨款支出决算情况说明</w:t>
      </w:r>
    </w:p>
    <w:p w14:paraId="75CFEC1F">
      <w:pPr>
        <w:spacing w:before="243" w:line="227" w:lineRule="auto"/>
        <w:ind w:left="638"/>
        <w:rPr>
          <w:rFonts w:ascii="仿宋" w:hAnsi="仿宋" w:eastAsia="仿宋" w:cs="仿宋"/>
          <w:color w:val="auto"/>
          <w:sz w:val="31"/>
          <w:szCs w:val="31"/>
        </w:rPr>
      </w:pPr>
      <w:r>
        <w:rPr>
          <w:rFonts w:ascii="仿宋" w:hAnsi="仿宋" w:eastAsia="仿宋" w:cs="仿宋"/>
          <w:color w:val="auto"/>
          <w:spacing w:val="8"/>
          <w:sz w:val="31"/>
          <w:szCs w:val="31"/>
        </w:rPr>
        <w:t>六、一般公共预算财政拨款基本支出决算情况说明</w:t>
      </w:r>
    </w:p>
    <w:p w14:paraId="149CB9FE">
      <w:pPr>
        <w:spacing w:before="242" w:line="226" w:lineRule="auto"/>
        <w:ind w:left="642"/>
        <w:rPr>
          <w:rFonts w:ascii="仿宋" w:hAnsi="仿宋" w:eastAsia="仿宋" w:cs="仿宋"/>
          <w:color w:val="auto"/>
          <w:sz w:val="31"/>
          <w:szCs w:val="31"/>
        </w:rPr>
      </w:pPr>
      <w:r>
        <w:rPr>
          <w:rFonts w:ascii="仿宋" w:hAnsi="仿宋" w:eastAsia="仿宋" w:cs="仿宋"/>
          <w:color w:val="auto"/>
          <w:spacing w:val="8"/>
          <w:sz w:val="31"/>
          <w:szCs w:val="31"/>
        </w:rPr>
        <w:t>七、政府性基金预算财政拨款收入支出决算情况说明</w:t>
      </w:r>
    </w:p>
    <w:p w14:paraId="79E2CB53">
      <w:pPr>
        <w:spacing w:before="246" w:line="227" w:lineRule="auto"/>
        <w:ind w:left="634"/>
        <w:rPr>
          <w:rFonts w:ascii="仿宋" w:hAnsi="仿宋" w:eastAsia="仿宋" w:cs="仿宋"/>
          <w:color w:val="auto"/>
          <w:sz w:val="31"/>
          <w:szCs w:val="31"/>
        </w:rPr>
      </w:pPr>
      <w:r>
        <w:rPr>
          <w:rFonts w:ascii="仿宋" w:hAnsi="仿宋" w:eastAsia="仿宋" w:cs="仿宋"/>
          <w:color w:val="auto"/>
          <w:spacing w:val="6"/>
          <w:sz w:val="31"/>
          <w:szCs w:val="31"/>
        </w:rPr>
        <w:t>八、</w:t>
      </w:r>
      <w:r>
        <w:rPr>
          <w:rFonts w:ascii="仿宋" w:hAnsi="仿宋" w:eastAsia="仿宋" w:cs="仿宋"/>
          <w:color w:val="auto"/>
          <w:spacing w:val="-90"/>
          <w:sz w:val="31"/>
          <w:szCs w:val="31"/>
        </w:rPr>
        <w:t xml:space="preserve"> </w:t>
      </w:r>
      <w:r>
        <w:rPr>
          <w:rFonts w:ascii="仿宋" w:hAnsi="仿宋" w:eastAsia="仿宋" w:cs="仿宋"/>
          <w:color w:val="auto"/>
          <w:spacing w:val="6"/>
          <w:sz w:val="31"/>
          <w:szCs w:val="31"/>
        </w:rPr>
        <w:t>国有资本经营预算财政拨款支出决算情况说明</w:t>
      </w:r>
    </w:p>
    <w:p w14:paraId="2329F561">
      <w:pPr>
        <w:spacing w:before="242" w:line="227" w:lineRule="auto"/>
        <w:ind w:left="647"/>
        <w:rPr>
          <w:rFonts w:ascii="仿宋" w:hAnsi="仿宋" w:eastAsia="仿宋" w:cs="仿宋"/>
          <w:color w:val="auto"/>
          <w:sz w:val="31"/>
          <w:szCs w:val="31"/>
        </w:rPr>
      </w:pPr>
      <w:r>
        <w:rPr>
          <w:rFonts w:ascii="仿宋" w:hAnsi="仿宋" w:eastAsia="仿宋" w:cs="仿宋"/>
          <w:color w:val="auto"/>
          <w:spacing w:val="6"/>
          <w:sz w:val="31"/>
          <w:szCs w:val="31"/>
        </w:rPr>
        <w:t>九、财政拨款“三公</w:t>
      </w:r>
      <w:r>
        <w:rPr>
          <w:rFonts w:ascii="仿宋" w:hAnsi="仿宋" w:eastAsia="仿宋" w:cs="仿宋"/>
          <w:color w:val="auto"/>
          <w:spacing w:val="-110"/>
          <w:sz w:val="31"/>
          <w:szCs w:val="31"/>
        </w:rPr>
        <w:t xml:space="preserve"> </w:t>
      </w:r>
      <w:r>
        <w:rPr>
          <w:rFonts w:ascii="仿宋" w:hAnsi="仿宋" w:eastAsia="仿宋" w:cs="仿宋"/>
          <w:color w:val="auto"/>
          <w:spacing w:val="6"/>
          <w:sz w:val="31"/>
          <w:szCs w:val="31"/>
        </w:rPr>
        <w:t>”经费支出决算情况说明</w:t>
      </w:r>
    </w:p>
    <w:p w14:paraId="5A54E830">
      <w:pPr>
        <w:spacing w:before="244" w:line="226" w:lineRule="auto"/>
        <w:ind w:left="644"/>
        <w:rPr>
          <w:rFonts w:ascii="仿宋" w:hAnsi="仿宋" w:eastAsia="仿宋" w:cs="仿宋"/>
          <w:color w:val="auto"/>
          <w:sz w:val="31"/>
          <w:szCs w:val="31"/>
        </w:rPr>
      </w:pPr>
      <w:r>
        <w:rPr>
          <w:rFonts w:ascii="仿宋" w:hAnsi="仿宋" w:eastAsia="仿宋" w:cs="仿宋"/>
          <w:color w:val="auto"/>
          <w:spacing w:val="7"/>
          <w:sz w:val="31"/>
          <w:szCs w:val="31"/>
        </w:rPr>
        <w:t>十、机关运行经费支出说明</w:t>
      </w:r>
    </w:p>
    <w:p w14:paraId="46F69CEE">
      <w:pPr>
        <w:spacing w:before="243" w:line="228" w:lineRule="auto"/>
        <w:ind w:left="644"/>
        <w:rPr>
          <w:rFonts w:ascii="仿宋" w:hAnsi="仿宋" w:eastAsia="仿宋" w:cs="仿宋"/>
          <w:color w:val="auto"/>
          <w:sz w:val="31"/>
          <w:szCs w:val="31"/>
        </w:rPr>
      </w:pPr>
      <w:r>
        <w:rPr>
          <w:rFonts w:ascii="仿宋" w:hAnsi="仿宋" w:eastAsia="仿宋" w:cs="仿宋"/>
          <w:color w:val="auto"/>
          <w:spacing w:val="7"/>
          <w:sz w:val="31"/>
          <w:szCs w:val="31"/>
        </w:rPr>
        <w:t>十一、政府采购支出说明</w:t>
      </w:r>
    </w:p>
    <w:p w14:paraId="4343D9A8">
      <w:pPr>
        <w:spacing w:before="241" w:line="228" w:lineRule="auto"/>
        <w:ind w:left="644"/>
        <w:rPr>
          <w:rFonts w:ascii="仿宋" w:hAnsi="仿宋" w:eastAsia="仿宋" w:cs="仿宋"/>
          <w:color w:val="auto"/>
          <w:sz w:val="31"/>
          <w:szCs w:val="31"/>
        </w:rPr>
      </w:pPr>
      <w:r>
        <w:rPr>
          <w:rFonts w:ascii="仿宋" w:hAnsi="仿宋" w:eastAsia="仿宋" w:cs="仿宋"/>
          <w:color w:val="auto"/>
          <w:spacing w:val="2"/>
          <w:sz w:val="31"/>
          <w:szCs w:val="31"/>
        </w:rPr>
        <w:t>十二、</w:t>
      </w:r>
      <w:r>
        <w:rPr>
          <w:rFonts w:ascii="仿宋" w:hAnsi="仿宋" w:eastAsia="仿宋" w:cs="仿宋"/>
          <w:color w:val="auto"/>
          <w:spacing w:val="-84"/>
          <w:sz w:val="31"/>
          <w:szCs w:val="31"/>
        </w:rPr>
        <w:t xml:space="preserve"> </w:t>
      </w:r>
      <w:r>
        <w:rPr>
          <w:rFonts w:ascii="仿宋" w:hAnsi="仿宋" w:eastAsia="仿宋" w:cs="仿宋"/>
          <w:color w:val="auto"/>
          <w:spacing w:val="2"/>
          <w:sz w:val="31"/>
          <w:szCs w:val="31"/>
        </w:rPr>
        <w:t>国有资产占用情况说明</w:t>
      </w:r>
    </w:p>
    <w:p w14:paraId="5F4D3634">
      <w:pPr>
        <w:spacing w:before="242" w:line="227" w:lineRule="auto"/>
        <w:ind w:left="644"/>
        <w:rPr>
          <w:rFonts w:ascii="仿宋" w:hAnsi="仿宋" w:eastAsia="仿宋" w:cs="仿宋"/>
          <w:color w:val="auto"/>
          <w:sz w:val="31"/>
          <w:szCs w:val="31"/>
        </w:rPr>
      </w:pPr>
      <w:r>
        <w:rPr>
          <w:rFonts w:ascii="仿宋" w:hAnsi="仿宋" w:eastAsia="仿宋" w:cs="仿宋"/>
          <w:color w:val="auto"/>
          <w:spacing w:val="7"/>
          <w:sz w:val="31"/>
          <w:szCs w:val="31"/>
        </w:rPr>
        <w:t>十三、预算绩效情况说明</w:t>
      </w:r>
    </w:p>
    <w:p w14:paraId="32E222A4">
      <w:pPr>
        <w:spacing w:before="243" w:line="224" w:lineRule="auto"/>
        <w:ind w:left="644"/>
        <w:rPr>
          <w:rFonts w:ascii="仿宋" w:hAnsi="仿宋" w:eastAsia="仿宋" w:cs="仿宋"/>
          <w:color w:val="auto"/>
          <w:sz w:val="31"/>
          <w:szCs w:val="31"/>
        </w:rPr>
      </w:pPr>
      <w:r>
        <w:rPr>
          <w:rFonts w:ascii="仿宋" w:hAnsi="仿宋" w:eastAsia="仿宋" w:cs="仿宋"/>
          <w:color w:val="auto"/>
          <w:spacing w:val="8"/>
          <w:sz w:val="31"/>
          <w:szCs w:val="31"/>
        </w:rPr>
        <w:t>十四、专项支出、转移支付支出情况说明</w:t>
      </w:r>
    </w:p>
    <w:p w14:paraId="37B6C0E4">
      <w:pPr>
        <w:spacing w:before="3"/>
        <w:rPr>
          <w:color w:val="auto"/>
        </w:rPr>
      </w:pPr>
    </w:p>
    <w:p w14:paraId="3866877E">
      <w:pPr>
        <w:spacing w:before="2"/>
        <w:rPr>
          <w:color w:val="auto"/>
        </w:rPr>
      </w:pPr>
    </w:p>
    <w:tbl>
      <w:tblPr>
        <w:tblStyle w:val="7"/>
        <w:tblW w:w="7024" w:type="dxa"/>
        <w:tblInd w:w="62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98"/>
        <w:gridCol w:w="5626"/>
      </w:tblGrid>
      <w:tr w14:paraId="2E168D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3" w:hRule="atLeast"/>
        </w:trPr>
        <w:tc>
          <w:tcPr>
            <w:tcW w:w="1398" w:type="dxa"/>
            <w:vAlign w:val="top"/>
          </w:tcPr>
          <w:p w14:paraId="496B5F71">
            <w:pPr>
              <w:spacing w:line="227" w:lineRule="auto"/>
              <w:rPr>
                <w:rFonts w:ascii="黑体" w:hAnsi="黑体" w:eastAsia="黑体" w:cs="黑体"/>
                <w:color w:val="auto"/>
                <w:sz w:val="31"/>
                <w:szCs w:val="31"/>
              </w:rPr>
            </w:pPr>
            <w:r>
              <w:rPr>
                <w:rFonts w:ascii="黑体" w:hAnsi="黑体" w:eastAsia="黑体" w:cs="黑体"/>
                <w:color w:val="auto"/>
                <w:spacing w:val="6"/>
                <w:sz w:val="31"/>
                <w:szCs w:val="31"/>
              </w:rPr>
              <w:t>第四部分</w:t>
            </w:r>
          </w:p>
        </w:tc>
        <w:tc>
          <w:tcPr>
            <w:tcW w:w="5626" w:type="dxa"/>
            <w:vAlign w:val="top"/>
          </w:tcPr>
          <w:p w14:paraId="767AE5FB">
            <w:pPr>
              <w:spacing w:line="226" w:lineRule="auto"/>
              <w:ind w:left="132"/>
              <w:rPr>
                <w:rFonts w:ascii="黑体" w:hAnsi="黑体" w:eastAsia="黑体" w:cs="黑体"/>
                <w:color w:val="auto"/>
                <w:sz w:val="31"/>
                <w:szCs w:val="31"/>
              </w:rPr>
            </w:pPr>
            <w:r>
              <w:rPr>
                <w:rFonts w:ascii="黑体" w:hAnsi="黑体" w:eastAsia="黑体" w:cs="黑体"/>
                <w:color w:val="auto"/>
                <w:spacing w:val="8"/>
                <w:sz w:val="31"/>
                <w:szCs w:val="31"/>
              </w:rPr>
              <w:t>其他需要说明的情况</w:t>
            </w:r>
          </w:p>
        </w:tc>
      </w:tr>
      <w:tr w14:paraId="7C4A34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4" w:hRule="atLeast"/>
        </w:trPr>
        <w:tc>
          <w:tcPr>
            <w:tcW w:w="1398" w:type="dxa"/>
            <w:vAlign w:val="top"/>
          </w:tcPr>
          <w:p w14:paraId="53D1AEA5">
            <w:pPr>
              <w:spacing w:before="271" w:line="227" w:lineRule="auto"/>
              <w:rPr>
                <w:rFonts w:ascii="黑体" w:hAnsi="黑体" w:eastAsia="黑体" w:cs="黑体"/>
                <w:color w:val="auto"/>
                <w:sz w:val="31"/>
                <w:szCs w:val="31"/>
              </w:rPr>
            </w:pPr>
            <w:r>
              <w:rPr>
                <w:rFonts w:ascii="黑体" w:hAnsi="黑体" w:eastAsia="黑体" w:cs="黑体"/>
                <w:color w:val="auto"/>
                <w:spacing w:val="6"/>
                <w:sz w:val="31"/>
                <w:szCs w:val="31"/>
              </w:rPr>
              <w:t>第五部分</w:t>
            </w:r>
          </w:p>
        </w:tc>
        <w:tc>
          <w:tcPr>
            <w:tcW w:w="5626" w:type="dxa"/>
            <w:vAlign w:val="top"/>
          </w:tcPr>
          <w:p w14:paraId="7042F712">
            <w:pPr>
              <w:spacing w:before="270" w:line="228" w:lineRule="auto"/>
              <w:ind w:left="130"/>
              <w:rPr>
                <w:rFonts w:ascii="黑体" w:hAnsi="黑体" w:eastAsia="黑体" w:cs="黑体"/>
                <w:color w:val="auto"/>
                <w:sz w:val="31"/>
                <w:szCs w:val="31"/>
              </w:rPr>
            </w:pPr>
            <w:r>
              <w:rPr>
                <w:rFonts w:ascii="黑体" w:hAnsi="黑体" w:eastAsia="黑体" w:cs="黑体"/>
                <w:color w:val="auto"/>
                <w:spacing w:val="5"/>
                <w:sz w:val="31"/>
                <w:szCs w:val="31"/>
              </w:rPr>
              <w:t>名词解释</w:t>
            </w:r>
          </w:p>
        </w:tc>
      </w:tr>
      <w:tr w14:paraId="4DB94F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4" w:hRule="atLeast"/>
        </w:trPr>
        <w:tc>
          <w:tcPr>
            <w:tcW w:w="1398" w:type="dxa"/>
            <w:vAlign w:val="top"/>
          </w:tcPr>
          <w:p w14:paraId="4ACA4477">
            <w:pPr>
              <w:spacing w:before="271" w:line="227" w:lineRule="auto"/>
              <w:rPr>
                <w:rFonts w:ascii="黑体" w:hAnsi="黑体" w:eastAsia="黑体" w:cs="黑体"/>
                <w:color w:val="auto"/>
                <w:sz w:val="31"/>
                <w:szCs w:val="31"/>
              </w:rPr>
            </w:pPr>
            <w:r>
              <w:rPr>
                <w:rFonts w:ascii="黑体" w:hAnsi="黑体" w:eastAsia="黑体" w:cs="黑体"/>
                <w:color w:val="auto"/>
                <w:spacing w:val="6"/>
                <w:sz w:val="31"/>
                <w:szCs w:val="31"/>
              </w:rPr>
              <w:t>第六部分</w:t>
            </w:r>
          </w:p>
        </w:tc>
        <w:tc>
          <w:tcPr>
            <w:tcW w:w="5626" w:type="dxa"/>
            <w:vAlign w:val="top"/>
          </w:tcPr>
          <w:p w14:paraId="460A4B72">
            <w:pPr>
              <w:spacing w:before="270" w:line="230" w:lineRule="auto"/>
              <w:ind w:left="217"/>
              <w:rPr>
                <w:rFonts w:ascii="黑体" w:hAnsi="黑体" w:eastAsia="黑体" w:cs="黑体"/>
                <w:color w:val="auto"/>
                <w:sz w:val="31"/>
                <w:szCs w:val="31"/>
              </w:rPr>
            </w:pPr>
            <w:r>
              <w:rPr>
                <w:rFonts w:ascii="黑体" w:hAnsi="黑体" w:eastAsia="黑体" w:cs="黑体"/>
                <w:color w:val="auto"/>
                <w:spacing w:val="-5"/>
                <w:sz w:val="31"/>
                <w:szCs w:val="31"/>
              </w:rPr>
              <w:t>附件</w:t>
            </w:r>
          </w:p>
        </w:tc>
      </w:tr>
      <w:tr w14:paraId="214169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1398" w:type="dxa"/>
            <w:vAlign w:val="top"/>
          </w:tcPr>
          <w:p w14:paraId="1510322B">
            <w:pPr>
              <w:spacing w:before="151" w:line="186" w:lineRule="auto"/>
              <w:rPr>
                <w:rFonts w:ascii="黑体" w:hAnsi="黑体" w:eastAsia="黑体" w:cs="黑体"/>
                <w:color w:val="auto"/>
                <w:sz w:val="31"/>
                <w:szCs w:val="31"/>
              </w:rPr>
            </w:pPr>
            <w:r>
              <w:rPr>
                <w:rFonts w:ascii="黑体" w:hAnsi="黑体" w:eastAsia="黑体" w:cs="黑体"/>
                <w:color w:val="auto"/>
                <w:spacing w:val="6"/>
                <w:sz w:val="31"/>
                <w:szCs w:val="31"/>
              </w:rPr>
              <w:t>第一部分</w:t>
            </w:r>
          </w:p>
        </w:tc>
        <w:tc>
          <w:tcPr>
            <w:tcW w:w="5626" w:type="dxa"/>
            <w:vAlign w:val="top"/>
          </w:tcPr>
          <w:p w14:paraId="66CD51B0">
            <w:pPr>
              <w:spacing w:before="151" w:line="186" w:lineRule="auto"/>
              <w:jc w:val="right"/>
              <w:rPr>
                <w:rFonts w:ascii="黑体" w:hAnsi="黑体" w:eastAsia="黑体" w:cs="黑体"/>
                <w:color w:val="auto"/>
                <w:sz w:val="31"/>
                <w:szCs w:val="31"/>
              </w:rPr>
            </w:pPr>
            <w:r>
              <w:rPr>
                <w:rFonts w:ascii="黑体" w:hAnsi="黑体" w:eastAsia="黑体" w:cs="黑体"/>
                <w:color w:val="auto"/>
                <w:spacing w:val="9"/>
                <w:sz w:val="31"/>
                <w:szCs w:val="31"/>
              </w:rPr>
              <w:t>鄂州市自然资源和规划局鄂城分局概况</w:t>
            </w:r>
          </w:p>
        </w:tc>
      </w:tr>
    </w:tbl>
    <w:p w14:paraId="3EC74F9C">
      <w:pPr>
        <w:spacing w:line="258" w:lineRule="auto"/>
        <w:rPr>
          <w:rFonts w:ascii="Arial"/>
          <w:color w:val="auto"/>
          <w:sz w:val="21"/>
        </w:rPr>
      </w:pPr>
    </w:p>
    <w:p w14:paraId="5BF95A3B">
      <w:pPr>
        <w:pStyle w:val="2"/>
        <w:spacing w:before="101" w:line="226" w:lineRule="auto"/>
        <w:ind w:left="632"/>
        <w:rPr>
          <w:color w:val="auto"/>
        </w:rPr>
      </w:pPr>
      <w:r>
        <w:rPr>
          <w:color w:val="auto"/>
          <w:spacing w:val="7"/>
        </w:rPr>
        <w:t>一、部门主要职责</w:t>
      </w:r>
    </w:p>
    <w:p w14:paraId="1001F8C3">
      <w:pPr>
        <w:spacing w:before="142" w:line="363" w:lineRule="auto"/>
        <w:ind w:left="3" w:firstLine="648"/>
        <w:rPr>
          <w:rFonts w:ascii="仿宋" w:hAnsi="仿宋" w:eastAsia="仿宋" w:cs="仿宋"/>
          <w:color w:val="auto"/>
          <w:sz w:val="31"/>
          <w:szCs w:val="31"/>
        </w:rPr>
      </w:pPr>
      <w:r>
        <w:rPr>
          <w:rFonts w:ascii="Times New Roman" w:hAnsi="Times New Roman" w:eastAsia="Times New Roman" w:cs="Times New Roman"/>
          <w:color w:val="auto"/>
          <w:spacing w:val="6"/>
          <w:sz w:val="31"/>
          <w:szCs w:val="31"/>
        </w:rPr>
        <w:t>1</w:t>
      </w:r>
      <w:r>
        <w:rPr>
          <w:rFonts w:ascii="Times New Roman" w:hAnsi="Times New Roman" w:eastAsia="Times New Roman" w:cs="Times New Roman"/>
          <w:color w:val="auto"/>
          <w:spacing w:val="-34"/>
          <w:sz w:val="31"/>
          <w:szCs w:val="31"/>
        </w:rPr>
        <w:t xml:space="preserve"> </w:t>
      </w:r>
      <w:r>
        <w:rPr>
          <w:rFonts w:ascii="仿宋" w:hAnsi="仿宋" w:eastAsia="仿宋" w:cs="仿宋"/>
          <w:color w:val="auto"/>
          <w:spacing w:val="6"/>
          <w:sz w:val="31"/>
          <w:szCs w:val="31"/>
        </w:rPr>
        <w:t>、履行全民所有土地、矿产、森林、草场、湿地、水等自</w:t>
      </w:r>
      <w:r>
        <w:rPr>
          <w:rFonts w:ascii="仿宋" w:hAnsi="仿宋" w:eastAsia="仿宋" w:cs="仿宋"/>
          <w:color w:val="auto"/>
          <w:spacing w:val="5"/>
          <w:sz w:val="31"/>
          <w:szCs w:val="31"/>
        </w:rPr>
        <w:t>然资源</w:t>
      </w:r>
      <w:r>
        <w:rPr>
          <w:rFonts w:ascii="仿宋" w:hAnsi="仿宋" w:eastAsia="仿宋" w:cs="仿宋"/>
          <w:color w:val="auto"/>
          <w:sz w:val="31"/>
          <w:szCs w:val="31"/>
        </w:rPr>
        <w:t xml:space="preserve"> </w:t>
      </w:r>
      <w:r>
        <w:rPr>
          <w:rFonts w:ascii="仿宋" w:hAnsi="仿宋" w:eastAsia="仿宋" w:cs="仿宋"/>
          <w:color w:val="auto"/>
          <w:spacing w:val="8"/>
          <w:sz w:val="31"/>
          <w:szCs w:val="31"/>
        </w:rPr>
        <w:t>资产所有者职责和所有国土空间用途管制职责。2、</w:t>
      </w:r>
      <w:r>
        <w:rPr>
          <w:rFonts w:ascii="仿宋" w:hAnsi="仿宋" w:eastAsia="仿宋" w:cs="仿宋"/>
          <w:color w:val="auto"/>
          <w:spacing w:val="7"/>
          <w:sz w:val="31"/>
          <w:szCs w:val="31"/>
        </w:rPr>
        <w:t>执行自然资源调查</w:t>
      </w:r>
      <w:r>
        <w:rPr>
          <w:rFonts w:ascii="仿宋" w:hAnsi="仿宋" w:eastAsia="仿宋" w:cs="仿宋"/>
          <w:color w:val="auto"/>
          <w:sz w:val="31"/>
          <w:szCs w:val="31"/>
        </w:rPr>
        <w:t xml:space="preserve"> </w:t>
      </w:r>
      <w:r>
        <w:rPr>
          <w:rFonts w:ascii="仿宋" w:hAnsi="仿宋" w:eastAsia="仿宋" w:cs="仿宋"/>
          <w:color w:val="auto"/>
          <w:spacing w:val="8"/>
          <w:sz w:val="31"/>
          <w:szCs w:val="31"/>
        </w:rPr>
        <w:t>监测评价。3、开展自然资源统一调查确权工作。4、实施、配合开展</w:t>
      </w:r>
      <w:r>
        <w:rPr>
          <w:rFonts w:ascii="仿宋" w:hAnsi="仿宋" w:eastAsia="仿宋" w:cs="仿宋"/>
          <w:color w:val="auto"/>
          <w:spacing w:val="18"/>
          <w:sz w:val="31"/>
          <w:szCs w:val="31"/>
        </w:rPr>
        <w:t xml:space="preserve"> </w:t>
      </w:r>
      <w:r>
        <w:rPr>
          <w:rFonts w:ascii="仿宋" w:hAnsi="仿宋" w:eastAsia="仿宋" w:cs="仿宋"/>
          <w:color w:val="auto"/>
          <w:spacing w:val="8"/>
          <w:sz w:val="31"/>
          <w:szCs w:val="31"/>
        </w:rPr>
        <w:t>自然资源资产有偿使用工作。5、开展自然资源的合理开发利用。6、</w:t>
      </w:r>
    </w:p>
    <w:p w14:paraId="4F4DCA75">
      <w:pPr>
        <w:spacing w:before="56" w:line="226" w:lineRule="auto"/>
        <w:jc w:val="right"/>
        <w:rPr>
          <w:rFonts w:ascii="仿宋" w:hAnsi="仿宋" w:eastAsia="仿宋" w:cs="仿宋"/>
          <w:color w:val="auto"/>
          <w:sz w:val="31"/>
          <w:szCs w:val="31"/>
        </w:rPr>
      </w:pPr>
      <w:r>
        <w:rPr>
          <w:rFonts w:ascii="仿宋" w:hAnsi="仿宋" w:eastAsia="仿宋" w:cs="仿宋"/>
          <w:color w:val="auto"/>
          <w:spacing w:val="7"/>
          <w:sz w:val="31"/>
          <w:szCs w:val="31"/>
        </w:rPr>
        <w:t>配合建立空间规划体系并监督实施。7、承担国土空间生态修复工作。</w:t>
      </w:r>
    </w:p>
    <w:p w14:paraId="69A9534F">
      <w:pPr>
        <w:spacing w:line="226" w:lineRule="auto"/>
        <w:rPr>
          <w:rFonts w:ascii="仿宋" w:hAnsi="仿宋" w:eastAsia="仿宋" w:cs="仿宋"/>
          <w:color w:val="auto"/>
          <w:sz w:val="31"/>
          <w:szCs w:val="31"/>
        </w:rPr>
        <w:sectPr>
          <w:footerReference r:id="rId6" w:type="default"/>
          <w:pgSz w:w="11906" w:h="16839"/>
          <w:pgMar w:top="655" w:right="1439" w:bottom="1156" w:left="762" w:header="0" w:footer="994" w:gutter="0"/>
          <w:pgBorders>
            <w:top w:val="none" w:sz="0" w:space="0"/>
            <w:left w:val="none" w:sz="0" w:space="0"/>
            <w:bottom w:val="none" w:sz="0" w:space="0"/>
            <w:right w:val="none" w:sz="0" w:space="0"/>
          </w:pgBorders>
          <w:cols w:space="720" w:num="1"/>
        </w:sectPr>
      </w:pPr>
    </w:p>
    <w:p w14:paraId="0A439568">
      <w:pPr>
        <w:spacing w:before="61" w:line="369" w:lineRule="auto"/>
        <w:ind w:left="6" w:hanging="7"/>
        <w:jc w:val="both"/>
        <w:rPr>
          <w:rFonts w:ascii="仿宋" w:hAnsi="仿宋" w:eastAsia="仿宋" w:cs="仿宋"/>
          <w:color w:val="auto"/>
          <w:sz w:val="31"/>
          <w:szCs w:val="31"/>
        </w:rPr>
      </w:pPr>
      <w:r>
        <w:rPr>
          <w:rFonts w:ascii="仿宋" w:hAnsi="仿宋" w:eastAsia="仿宋" w:cs="仿宋"/>
          <w:color w:val="auto"/>
          <w:spacing w:val="9"/>
          <w:sz w:val="31"/>
          <w:szCs w:val="31"/>
        </w:rPr>
        <w:t>8、承担辖区规划管理工作。9、落实最严格的耕地保护制度，实施耕</w:t>
      </w:r>
      <w:r>
        <w:rPr>
          <w:rFonts w:ascii="仿宋" w:hAnsi="仿宋" w:eastAsia="仿宋" w:cs="仿宋"/>
          <w:color w:val="auto"/>
          <w:spacing w:val="2"/>
          <w:sz w:val="31"/>
          <w:szCs w:val="31"/>
        </w:rPr>
        <w:t xml:space="preserve">  </w:t>
      </w:r>
      <w:r>
        <w:rPr>
          <w:rFonts w:ascii="仿宋" w:hAnsi="仿宋" w:eastAsia="仿宋" w:cs="仿宋"/>
          <w:color w:val="auto"/>
          <w:spacing w:val="9"/>
          <w:sz w:val="31"/>
          <w:szCs w:val="31"/>
        </w:rPr>
        <w:t>地保护措施，执行耕地保护政策，负责耕地保护，拟订并实施耕地保</w:t>
      </w:r>
      <w:r>
        <w:rPr>
          <w:rFonts w:ascii="仿宋" w:hAnsi="仿宋" w:eastAsia="仿宋" w:cs="仿宋"/>
          <w:color w:val="auto"/>
          <w:spacing w:val="4"/>
          <w:sz w:val="31"/>
          <w:szCs w:val="31"/>
        </w:rPr>
        <w:t xml:space="preserve">  </w:t>
      </w:r>
      <w:r>
        <w:rPr>
          <w:rFonts w:ascii="仿宋" w:hAnsi="仿宋" w:eastAsia="仿宋" w:cs="仿宋"/>
          <w:color w:val="auto"/>
          <w:spacing w:val="9"/>
          <w:sz w:val="31"/>
          <w:szCs w:val="31"/>
        </w:rPr>
        <w:t>护责任目标考核办法，对永久基本农田特殊保护，完善并落实耕地占</w:t>
      </w:r>
      <w:r>
        <w:rPr>
          <w:rFonts w:ascii="仿宋" w:hAnsi="仿宋" w:eastAsia="仿宋" w:cs="仿宋"/>
          <w:color w:val="auto"/>
          <w:spacing w:val="4"/>
          <w:sz w:val="31"/>
          <w:szCs w:val="31"/>
        </w:rPr>
        <w:t xml:space="preserve">  </w:t>
      </w:r>
      <w:r>
        <w:rPr>
          <w:rFonts w:ascii="仿宋" w:hAnsi="仿宋" w:eastAsia="仿宋" w:cs="仿宋"/>
          <w:color w:val="auto"/>
          <w:spacing w:val="9"/>
          <w:sz w:val="31"/>
          <w:szCs w:val="31"/>
        </w:rPr>
        <w:t>补平衡制度，监督占用耕地补偿制度抗行情况。10、负责地质</w:t>
      </w:r>
      <w:r>
        <w:rPr>
          <w:rFonts w:ascii="仿宋" w:hAnsi="仿宋" w:eastAsia="仿宋" w:cs="仿宋"/>
          <w:color w:val="auto"/>
          <w:spacing w:val="8"/>
          <w:sz w:val="31"/>
          <w:szCs w:val="31"/>
        </w:rPr>
        <w:t>灾害预</w:t>
      </w:r>
      <w:r>
        <w:rPr>
          <w:rFonts w:ascii="仿宋" w:hAnsi="仿宋" w:eastAsia="仿宋" w:cs="仿宋"/>
          <w:color w:val="auto"/>
          <w:sz w:val="31"/>
          <w:szCs w:val="31"/>
        </w:rPr>
        <w:t xml:space="preserve">  </w:t>
      </w:r>
      <w:r>
        <w:rPr>
          <w:rFonts w:ascii="仿宋" w:hAnsi="仿宋" w:eastAsia="仿宋" w:cs="仿宋"/>
          <w:color w:val="auto"/>
          <w:spacing w:val="6"/>
          <w:sz w:val="31"/>
          <w:szCs w:val="31"/>
        </w:rPr>
        <w:t>防和治理工作。11、按权限管理和监督矿产资源开发利用和保护。12、</w:t>
      </w:r>
      <w:r>
        <w:rPr>
          <w:rFonts w:ascii="仿宋" w:hAnsi="仿宋" w:eastAsia="仿宋" w:cs="仿宋"/>
          <w:color w:val="auto"/>
          <w:spacing w:val="3"/>
          <w:sz w:val="31"/>
          <w:szCs w:val="31"/>
        </w:rPr>
        <w:t xml:space="preserve"> </w:t>
      </w:r>
      <w:r>
        <w:rPr>
          <w:rFonts w:ascii="仿宋" w:hAnsi="仿宋" w:eastAsia="仿宋" w:cs="仿宋"/>
          <w:color w:val="auto"/>
          <w:spacing w:val="9"/>
          <w:sz w:val="31"/>
          <w:szCs w:val="31"/>
        </w:rPr>
        <w:t>配合测绘地理信息管理工作。13、组织造林</w:t>
      </w:r>
      <w:r>
        <w:rPr>
          <w:rFonts w:ascii="仿宋" w:hAnsi="仿宋" w:eastAsia="仿宋" w:cs="仿宋"/>
          <w:color w:val="auto"/>
          <w:spacing w:val="8"/>
          <w:sz w:val="31"/>
          <w:szCs w:val="31"/>
        </w:rPr>
        <w:t>绿化工作。14、承担森林</w:t>
      </w:r>
      <w:r>
        <w:rPr>
          <w:rFonts w:ascii="仿宋" w:hAnsi="仿宋" w:eastAsia="仿宋" w:cs="仿宋"/>
          <w:color w:val="auto"/>
          <w:sz w:val="31"/>
          <w:szCs w:val="31"/>
        </w:rPr>
        <w:t xml:space="preserve">  </w:t>
      </w:r>
      <w:r>
        <w:rPr>
          <w:rFonts w:ascii="仿宋" w:hAnsi="仿宋" w:eastAsia="仿宋" w:cs="仿宋"/>
          <w:color w:val="auto"/>
          <w:spacing w:val="9"/>
          <w:sz w:val="31"/>
          <w:szCs w:val="31"/>
        </w:rPr>
        <w:t>资源、湿地资源保护和管理。15、负责落实全市综合防灾减灾规划相</w:t>
      </w:r>
      <w:r>
        <w:rPr>
          <w:rFonts w:ascii="仿宋" w:hAnsi="仿宋" w:eastAsia="仿宋" w:cs="仿宋"/>
          <w:color w:val="auto"/>
          <w:sz w:val="31"/>
          <w:szCs w:val="31"/>
        </w:rPr>
        <w:t xml:space="preserve">  </w:t>
      </w:r>
      <w:r>
        <w:rPr>
          <w:rFonts w:ascii="仿宋" w:hAnsi="仿宋" w:eastAsia="仿宋" w:cs="仿宋"/>
          <w:color w:val="auto"/>
          <w:spacing w:val="9"/>
          <w:sz w:val="31"/>
          <w:szCs w:val="31"/>
        </w:rPr>
        <w:t>关要求，组织编制森林火灾防治规划、标准并指导实施，组织、指导</w:t>
      </w:r>
      <w:r>
        <w:rPr>
          <w:rFonts w:ascii="仿宋" w:hAnsi="仿宋" w:eastAsia="仿宋" w:cs="仿宋"/>
          <w:color w:val="auto"/>
          <w:spacing w:val="4"/>
          <w:sz w:val="31"/>
          <w:szCs w:val="31"/>
        </w:rPr>
        <w:t xml:space="preserve">  </w:t>
      </w:r>
      <w:r>
        <w:rPr>
          <w:rFonts w:ascii="仿宋" w:hAnsi="仿宋" w:eastAsia="仿宋" w:cs="仿宋"/>
          <w:color w:val="auto"/>
          <w:spacing w:val="9"/>
          <w:sz w:val="31"/>
          <w:szCs w:val="31"/>
        </w:rPr>
        <w:t>开展防火巡护、火源管理、防火设施建设等工作并督促检查，开展宣</w:t>
      </w:r>
      <w:r>
        <w:rPr>
          <w:rFonts w:ascii="仿宋" w:hAnsi="仿宋" w:eastAsia="仿宋" w:cs="仿宋"/>
          <w:color w:val="auto"/>
          <w:spacing w:val="4"/>
          <w:sz w:val="31"/>
          <w:szCs w:val="31"/>
        </w:rPr>
        <w:t xml:space="preserve">  </w:t>
      </w:r>
      <w:r>
        <w:rPr>
          <w:rFonts w:ascii="仿宋" w:hAnsi="仿宋" w:eastAsia="仿宋" w:cs="仿宋"/>
          <w:color w:val="auto"/>
          <w:spacing w:val="9"/>
          <w:sz w:val="31"/>
          <w:szCs w:val="31"/>
        </w:rPr>
        <w:t>传教育、监测预警、督促检查等防火工作。16、承担陆生野生动植物</w:t>
      </w:r>
      <w:r>
        <w:rPr>
          <w:rFonts w:ascii="仿宋" w:hAnsi="仿宋" w:eastAsia="仿宋" w:cs="仿宋"/>
          <w:color w:val="auto"/>
          <w:sz w:val="31"/>
          <w:szCs w:val="31"/>
        </w:rPr>
        <w:t xml:space="preserve">  </w:t>
      </w:r>
      <w:r>
        <w:rPr>
          <w:rFonts w:ascii="仿宋" w:hAnsi="仿宋" w:eastAsia="仿宋" w:cs="仿宋"/>
          <w:color w:val="auto"/>
          <w:spacing w:val="9"/>
          <w:sz w:val="31"/>
          <w:szCs w:val="31"/>
        </w:rPr>
        <w:t>资源保护和管理。17、负责各类自然保护地的监</w:t>
      </w:r>
      <w:r>
        <w:rPr>
          <w:rFonts w:ascii="仿宋" w:hAnsi="仿宋" w:eastAsia="仿宋" w:cs="仿宋"/>
          <w:color w:val="auto"/>
          <w:spacing w:val="8"/>
          <w:sz w:val="31"/>
          <w:szCs w:val="31"/>
        </w:rPr>
        <w:t>督管理。18、完成市</w:t>
      </w:r>
      <w:r>
        <w:rPr>
          <w:rFonts w:ascii="仿宋" w:hAnsi="仿宋" w:eastAsia="仿宋" w:cs="仿宋"/>
          <w:color w:val="auto"/>
          <w:sz w:val="31"/>
          <w:szCs w:val="31"/>
        </w:rPr>
        <w:t xml:space="preserve">  </w:t>
      </w:r>
      <w:r>
        <w:rPr>
          <w:rFonts w:ascii="仿宋" w:hAnsi="仿宋" w:eastAsia="仿宋" w:cs="仿宋"/>
          <w:color w:val="auto"/>
          <w:spacing w:val="8"/>
          <w:sz w:val="31"/>
          <w:szCs w:val="31"/>
        </w:rPr>
        <w:t>自然资源和规划局和当地党委政府交办的其他工作。</w:t>
      </w:r>
    </w:p>
    <w:p w14:paraId="0692B369">
      <w:pPr>
        <w:pStyle w:val="2"/>
        <w:spacing w:before="116" w:line="227" w:lineRule="auto"/>
        <w:ind w:left="645"/>
        <w:rPr>
          <w:color w:val="auto"/>
        </w:rPr>
      </w:pPr>
      <w:r>
        <w:rPr>
          <w:color w:val="auto"/>
          <w:spacing w:val="7"/>
        </w:rPr>
        <w:t>二、机构设置情况</w:t>
      </w:r>
    </w:p>
    <w:p w14:paraId="1F969700">
      <w:pPr>
        <w:spacing w:before="140" w:line="355" w:lineRule="auto"/>
        <w:ind w:left="11" w:right="102" w:firstLine="637"/>
        <w:rPr>
          <w:rFonts w:ascii="仿宋" w:hAnsi="仿宋" w:eastAsia="仿宋" w:cs="仿宋"/>
          <w:color w:val="auto"/>
          <w:sz w:val="31"/>
          <w:szCs w:val="31"/>
        </w:rPr>
      </w:pPr>
      <w:r>
        <w:rPr>
          <w:rFonts w:ascii="仿宋" w:hAnsi="仿宋" w:eastAsia="仿宋" w:cs="仿宋"/>
          <w:color w:val="auto"/>
          <w:spacing w:val="14"/>
          <w:sz w:val="31"/>
          <w:szCs w:val="31"/>
        </w:rPr>
        <w:t>从单位构成看，鄂州市自然资源和规划局鄂城分局部</w:t>
      </w:r>
      <w:r>
        <w:rPr>
          <w:rFonts w:ascii="仿宋" w:hAnsi="仿宋" w:eastAsia="仿宋" w:cs="仿宋"/>
          <w:color w:val="auto"/>
          <w:spacing w:val="13"/>
          <w:sz w:val="31"/>
          <w:szCs w:val="31"/>
        </w:rPr>
        <w:t>门决算由实</w:t>
      </w:r>
      <w:r>
        <w:rPr>
          <w:rFonts w:ascii="仿宋" w:hAnsi="仿宋" w:eastAsia="仿宋" w:cs="仿宋"/>
          <w:color w:val="auto"/>
          <w:sz w:val="31"/>
          <w:szCs w:val="31"/>
        </w:rPr>
        <w:t xml:space="preserve"> </w:t>
      </w:r>
      <w:r>
        <w:rPr>
          <w:rFonts w:ascii="仿宋" w:hAnsi="仿宋" w:eastAsia="仿宋" w:cs="仿宋"/>
          <w:color w:val="auto"/>
          <w:spacing w:val="9"/>
          <w:sz w:val="31"/>
          <w:szCs w:val="31"/>
        </w:rPr>
        <w:t>行独立核算的鄂州市自然资源和规划局鄂城分</w:t>
      </w:r>
      <w:r>
        <w:rPr>
          <w:rFonts w:ascii="仿宋" w:hAnsi="仿宋" w:eastAsia="仿宋" w:cs="仿宋"/>
          <w:color w:val="auto"/>
          <w:spacing w:val="8"/>
          <w:sz w:val="31"/>
          <w:szCs w:val="31"/>
        </w:rPr>
        <w:t>局本级决算组成。</w:t>
      </w:r>
    </w:p>
    <w:p w14:paraId="6823D55F">
      <w:pPr>
        <w:spacing w:before="116" w:line="337" w:lineRule="auto"/>
        <w:ind w:left="8" w:firstLine="640"/>
        <w:rPr>
          <w:rFonts w:ascii="仿宋" w:hAnsi="仿宋" w:eastAsia="仿宋" w:cs="仿宋"/>
          <w:color w:val="auto"/>
          <w:sz w:val="31"/>
          <w:szCs w:val="31"/>
        </w:rPr>
      </w:pPr>
      <w:r>
        <w:rPr>
          <w:rFonts w:ascii="仿宋" w:hAnsi="仿宋" w:eastAsia="仿宋" w:cs="仿宋"/>
          <w:color w:val="auto"/>
          <w:spacing w:val="14"/>
          <w:sz w:val="31"/>
          <w:szCs w:val="31"/>
        </w:rPr>
        <w:t>鄂州市自然资源和规划局鄂城分局为市自然资</w:t>
      </w:r>
      <w:r>
        <w:rPr>
          <w:rFonts w:ascii="仿宋" w:hAnsi="仿宋" w:eastAsia="仿宋" w:cs="仿宋"/>
          <w:color w:val="auto"/>
          <w:spacing w:val="13"/>
          <w:sz w:val="31"/>
          <w:szCs w:val="31"/>
        </w:rPr>
        <w:t>源和规划局的派出</w:t>
      </w:r>
      <w:r>
        <w:rPr>
          <w:rFonts w:ascii="仿宋" w:hAnsi="仿宋" w:eastAsia="仿宋" w:cs="仿宋"/>
          <w:color w:val="auto"/>
          <w:sz w:val="31"/>
          <w:szCs w:val="31"/>
        </w:rPr>
        <w:t xml:space="preserve"> </w:t>
      </w:r>
      <w:r>
        <w:rPr>
          <w:rFonts w:ascii="仿宋" w:hAnsi="仿宋" w:eastAsia="仿宋" w:cs="仿宋"/>
          <w:color w:val="auto"/>
          <w:spacing w:val="-3"/>
          <w:sz w:val="31"/>
          <w:szCs w:val="31"/>
        </w:rPr>
        <w:t>机构。下设国土所及二级单位共计</w:t>
      </w:r>
      <w:r>
        <w:rPr>
          <w:rFonts w:ascii="仿宋" w:hAnsi="仿宋" w:eastAsia="仿宋" w:cs="仿宋"/>
          <w:color w:val="auto"/>
          <w:spacing w:val="-38"/>
          <w:sz w:val="31"/>
          <w:szCs w:val="31"/>
        </w:rPr>
        <w:t xml:space="preserve"> </w:t>
      </w:r>
      <w:r>
        <w:rPr>
          <w:rFonts w:ascii="仿宋" w:hAnsi="仿宋" w:eastAsia="仿宋" w:cs="仿宋"/>
          <w:color w:val="auto"/>
          <w:spacing w:val="-3"/>
          <w:sz w:val="31"/>
          <w:szCs w:val="31"/>
        </w:rPr>
        <w:t>11</w:t>
      </w:r>
      <w:r>
        <w:rPr>
          <w:rFonts w:ascii="仿宋" w:hAnsi="仿宋" w:eastAsia="仿宋" w:cs="仿宋"/>
          <w:color w:val="auto"/>
          <w:spacing w:val="-55"/>
          <w:sz w:val="31"/>
          <w:szCs w:val="31"/>
        </w:rPr>
        <w:t xml:space="preserve"> </w:t>
      </w:r>
      <w:r>
        <w:rPr>
          <w:rFonts w:ascii="仿宋" w:hAnsi="仿宋" w:eastAsia="仿宋" w:cs="仿宋"/>
          <w:color w:val="auto"/>
          <w:spacing w:val="-3"/>
          <w:sz w:val="31"/>
          <w:szCs w:val="31"/>
        </w:rPr>
        <w:t>个，即长港国土所、樊</w:t>
      </w:r>
      <w:r>
        <w:rPr>
          <w:rFonts w:ascii="仿宋" w:hAnsi="仿宋" w:eastAsia="仿宋" w:cs="仿宋"/>
          <w:color w:val="auto"/>
          <w:spacing w:val="-76"/>
          <w:sz w:val="31"/>
          <w:szCs w:val="31"/>
        </w:rPr>
        <w:t xml:space="preserve"> </w:t>
      </w:r>
      <w:r>
        <w:rPr>
          <w:rFonts w:ascii="仿宋" w:hAnsi="仿宋" w:eastAsia="仿宋" w:cs="仿宋"/>
          <w:color w:val="auto"/>
          <w:spacing w:val="-3"/>
          <w:sz w:val="31"/>
          <w:szCs w:val="31"/>
        </w:rPr>
        <w:t>口国土所、</w:t>
      </w:r>
      <w:r>
        <w:rPr>
          <w:rFonts w:ascii="仿宋" w:hAnsi="仿宋" w:eastAsia="仿宋" w:cs="仿宋"/>
          <w:color w:val="auto"/>
          <w:sz w:val="31"/>
          <w:szCs w:val="31"/>
        </w:rPr>
        <w:t xml:space="preserve"> </w:t>
      </w:r>
      <w:r>
        <w:rPr>
          <w:rFonts w:ascii="仿宋" w:hAnsi="仿宋" w:eastAsia="仿宋" w:cs="仿宋"/>
          <w:color w:val="auto"/>
          <w:spacing w:val="15"/>
          <w:sz w:val="31"/>
          <w:szCs w:val="31"/>
        </w:rPr>
        <w:t>杜山国土所、泽林国土所、碧石国土所、汀祖</w:t>
      </w:r>
      <w:r>
        <w:rPr>
          <w:rFonts w:ascii="仿宋" w:hAnsi="仿宋" w:eastAsia="仿宋" w:cs="仿宋"/>
          <w:color w:val="auto"/>
          <w:spacing w:val="14"/>
          <w:sz w:val="31"/>
          <w:szCs w:val="31"/>
        </w:rPr>
        <w:t>国土所、汀祖矿管站、</w:t>
      </w:r>
      <w:r>
        <w:rPr>
          <w:rFonts w:ascii="仿宋" w:hAnsi="仿宋" w:eastAsia="仿宋" w:cs="仿宋"/>
          <w:color w:val="auto"/>
          <w:sz w:val="31"/>
          <w:szCs w:val="31"/>
        </w:rPr>
        <w:t xml:space="preserve"> </w:t>
      </w:r>
      <w:r>
        <w:rPr>
          <w:rFonts w:ascii="仿宋" w:hAnsi="仿宋" w:eastAsia="仿宋" w:cs="仿宋"/>
          <w:color w:val="auto"/>
          <w:spacing w:val="8"/>
          <w:sz w:val="31"/>
          <w:szCs w:val="31"/>
        </w:rPr>
        <w:t>泽林矿管站、土地整理中心、区不动产登记中心。</w:t>
      </w:r>
    </w:p>
    <w:p w14:paraId="101DE0C6">
      <w:pPr>
        <w:pStyle w:val="3"/>
      </w:pPr>
    </w:p>
    <w:p w14:paraId="6B26D6D5">
      <w:pPr>
        <w:pStyle w:val="2"/>
        <w:spacing w:before="101" w:line="227" w:lineRule="auto"/>
        <w:rPr>
          <w:color w:val="auto"/>
        </w:rPr>
        <w:sectPr>
          <w:footerReference r:id="rId7" w:type="default"/>
          <w:pgSz w:w="11906" w:h="16839"/>
          <w:pgMar w:top="655" w:right="1336" w:bottom="1156" w:left="749" w:header="0" w:footer="994" w:gutter="0"/>
          <w:pgBorders>
            <w:top w:val="none" w:sz="0" w:space="0"/>
            <w:left w:val="none" w:sz="0" w:space="0"/>
            <w:bottom w:val="none" w:sz="0" w:space="0"/>
            <w:right w:val="none" w:sz="0" w:space="0"/>
          </w:pgBorders>
          <w:cols w:space="720" w:num="1"/>
        </w:sectPr>
      </w:pPr>
      <w:r>
        <w:rPr>
          <w:color w:val="auto"/>
          <w:spacing w:val="6"/>
        </w:rPr>
        <w:t>第二部分   202</w:t>
      </w:r>
      <w:r>
        <w:rPr>
          <w:rFonts w:hint="eastAsia"/>
          <w:color w:val="auto"/>
          <w:spacing w:val="6"/>
          <w:lang w:val="en-US" w:eastAsia="zh-CN"/>
        </w:rPr>
        <w:t>3</w:t>
      </w:r>
      <w:r>
        <w:rPr>
          <w:color w:val="auto"/>
          <w:spacing w:val="-54"/>
        </w:rPr>
        <w:t xml:space="preserve"> </w:t>
      </w:r>
      <w:r>
        <w:rPr>
          <w:color w:val="auto"/>
          <w:spacing w:val="6"/>
        </w:rPr>
        <w:t>年度部门决算表</w:t>
      </w:r>
    </w:p>
    <w:p w14:paraId="27B20FD6">
      <w:pPr>
        <w:pStyle w:val="2"/>
        <w:spacing w:before="64" w:line="227" w:lineRule="auto"/>
        <w:outlineLvl w:val="0"/>
        <w:rPr>
          <w:color w:val="auto"/>
        </w:rPr>
      </w:pPr>
      <w:r>
        <w:rPr>
          <w:color w:val="auto"/>
          <w:spacing w:val="8"/>
        </w:rPr>
        <w:t>一、收入支出决算总表</w:t>
      </w:r>
    </w:p>
    <w:p w14:paraId="4EE262C2">
      <w:pPr>
        <w:spacing w:before="226" w:line="219" w:lineRule="auto"/>
        <w:ind w:left="4338"/>
        <w:outlineLvl w:val="1"/>
        <w:rPr>
          <w:rFonts w:ascii="宋体" w:hAnsi="宋体" w:eastAsia="宋体" w:cs="宋体"/>
          <w:color w:val="auto"/>
          <w:sz w:val="30"/>
          <w:szCs w:val="30"/>
        </w:rPr>
      </w:pPr>
      <w:r>
        <w:rPr>
          <w:rFonts w:ascii="宋体" w:hAnsi="宋体" w:eastAsia="宋体" w:cs="宋体"/>
          <w:color w:val="auto"/>
          <w:spacing w:val="-3"/>
          <w:sz w:val="30"/>
          <w:szCs w:val="30"/>
        </w:rPr>
        <w:t>收入支出决算总表</w:t>
      </w:r>
    </w:p>
    <w:p w14:paraId="18E6D5DE">
      <w:pPr>
        <w:spacing w:before="159" w:line="230" w:lineRule="auto"/>
        <w:ind w:left="10037"/>
        <w:rPr>
          <w:rFonts w:ascii="宋体" w:hAnsi="宋体" w:eastAsia="宋体" w:cs="宋体"/>
          <w:color w:val="auto"/>
          <w:sz w:val="19"/>
          <w:szCs w:val="19"/>
        </w:rPr>
      </w:pPr>
      <w:r>
        <w:rPr>
          <w:rFonts w:ascii="宋体" w:hAnsi="宋体" w:eastAsia="宋体" w:cs="宋体"/>
          <w:color w:val="auto"/>
          <w:spacing w:val="1"/>
          <w:sz w:val="19"/>
          <w:szCs w:val="19"/>
        </w:rPr>
        <w:t>公开</w:t>
      </w:r>
      <w:r>
        <w:rPr>
          <w:rFonts w:ascii="宋体" w:hAnsi="宋体" w:eastAsia="宋体" w:cs="宋体"/>
          <w:color w:val="auto"/>
          <w:spacing w:val="-34"/>
          <w:sz w:val="19"/>
          <w:szCs w:val="19"/>
        </w:rPr>
        <w:t xml:space="preserve"> </w:t>
      </w:r>
      <w:r>
        <w:rPr>
          <w:rFonts w:ascii="宋体" w:hAnsi="宋体" w:eastAsia="宋体" w:cs="宋体"/>
          <w:color w:val="auto"/>
          <w:spacing w:val="1"/>
          <w:sz w:val="19"/>
          <w:szCs w:val="19"/>
        </w:rPr>
        <w:t>01</w:t>
      </w:r>
      <w:r>
        <w:rPr>
          <w:rFonts w:ascii="宋体" w:hAnsi="宋体" w:eastAsia="宋体" w:cs="宋体"/>
          <w:color w:val="auto"/>
          <w:spacing w:val="-37"/>
          <w:sz w:val="19"/>
          <w:szCs w:val="19"/>
        </w:rPr>
        <w:t xml:space="preserve"> </w:t>
      </w:r>
      <w:r>
        <w:rPr>
          <w:rFonts w:ascii="宋体" w:hAnsi="宋体" w:eastAsia="宋体" w:cs="宋体"/>
          <w:color w:val="auto"/>
          <w:spacing w:val="1"/>
          <w:sz w:val="19"/>
          <w:szCs w:val="19"/>
        </w:rPr>
        <w:t>表</w:t>
      </w:r>
    </w:p>
    <w:p w14:paraId="40912E94">
      <w:pPr>
        <w:spacing w:before="155" w:line="227" w:lineRule="auto"/>
        <w:ind w:left="121"/>
        <w:rPr>
          <w:rFonts w:ascii="宋体" w:hAnsi="宋体" w:eastAsia="宋体" w:cs="宋体"/>
          <w:color w:val="auto"/>
          <w:sz w:val="19"/>
          <w:szCs w:val="19"/>
        </w:rPr>
      </w:pPr>
      <w:r>
        <w:rPr>
          <w:rFonts w:ascii="宋体" w:hAnsi="宋体" w:eastAsia="宋体" w:cs="宋体"/>
          <w:color w:val="auto"/>
          <w:spacing w:val="7"/>
          <w:sz w:val="19"/>
          <w:szCs w:val="19"/>
        </w:rPr>
        <w:t xml:space="preserve">部门：鄂州市自然资源和规划局鄂城分局                        </w:t>
      </w:r>
      <w:r>
        <w:rPr>
          <w:rFonts w:ascii="宋体" w:hAnsi="宋体" w:eastAsia="宋体" w:cs="宋体"/>
          <w:color w:val="auto"/>
          <w:spacing w:val="6"/>
          <w:sz w:val="19"/>
          <w:szCs w:val="19"/>
        </w:rPr>
        <w:t xml:space="preserve">                                  金额单位：万元</w:t>
      </w:r>
    </w:p>
    <w:p w14:paraId="0F6F4E67">
      <w:pPr>
        <w:spacing w:line="22" w:lineRule="exact"/>
        <w:rPr>
          <w:color w:val="auto"/>
        </w:rPr>
      </w:pPr>
    </w:p>
    <w:tbl>
      <w:tblPr>
        <w:tblStyle w:val="7"/>
        <w:tblpPr w:leftFromText="180" w:rightFromText="180" w:vertAnchor="text" w:horzAnchor="page" w:tblpX="401" w:tblpY="49"/>
        <w:tblOverlap w:val="never"/>
        <w:tblW w:w="11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19"/>
        <w:gridCol w:w="656"/>
        <w:gridCol w:w="1095"/>
        <w:gridCol w:w="3514"/>
        <w:gridCol w:w="656"/>
        <w:gridCol w:w="1291"/>
      </w:tblGrid>
      <w:tr w14:paraId="11A6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570" w:type="dxa"/>
            <w:gridSpan w:val="3"/>
            <w:shd w:val="clear" w:color="auto" w:fill="C0C0C0"/>
            <w:vAlign w:val="top"/>
          </w:tcPr>
          <w:p w14:paraId="2107FA54">
            <w:pPr>
              <w:pStyle w:val="8"/>
              <w:spacing w:before="51" w:line="218" w:lineRule="auto"/>
              <w:ind w:left="2580"/>
              <w:rPr>
                <w:color w:val="auto"/>
              </w:rPr>
            </w:pPr>
            <w:r>
              <w:rPr>
                <w:color w:val="auto"/>
                <w:spacing w:val="-8"/>
              </w:rPr>
              <w:t>收入</w:t>
            </w:r>
          </w:p>
        </w:tc>
        <w:tc>
          <w:tcPr>
            <w:tcW w:w="5461" w:type="dxa"/>
            <w:gridSpan w:val="3"/>
            <w:shd w:val="clear" w:color="auto" w:fill="C0C0C0"/>
            <w:vAlign w:val="top"/>
          </w:tcPr>
          <w:p w14:paraId="3347220C">
            <w:pPr>
              <w:pStyle w:val="8"/>
              <w:spacing w:before="51" w:line="218" w:lineRule="auto"/>
              <w:ind w:left="2516"/>
              <w:rPr>
                <w:color w:val="auto"/>
              </w:rPr>
            </w:pPr>
            <w:r>
              <w:rPr>
                <w:color w:val="auto"/>
                <w:spacing w:val="-4"/>
              </w:rPr>
              <w:t>支出</w:t>
            </w:r>
          </w:p>
        </w:tc>
      </w:tr>
      <w:tr w14:paraId="15A0C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19" w:type="dxa"/>
            <w:shd w:val="clear" w:color="auto" w:fill="C0C0C0"/>
            <w:vAlign w:val="top"/>
          </w:tcPr>
          <w:p w14:paraId="51A87BBA">
            <w:pPr>
              <w:pStyle w:val="8"/>
              <w:spacing w:before="46" w:line="218" w:lineRule="auto"/>
              <w:ind w:left="1700"/>
              <w:rPr>
                <w:color w:val="auto"/>
              </w:rPr>
            </w:pPr>
            <w:r>
              <w:rPr>
                <w:color w:val="auto"/>
                <w:spacing w:val="-6"/>
              </w:rPr>
              <w:t>项目</w:t>
            </w:r>
          </w:p>
        </w:tc>
        <w:tc>
          <w:tcPr>
            <w:tcW w:w="656" w:type="dxa"/>
            <w:shd w:val="clear" w:color="auto" w:fill="C0C0C0"/>
            <w:vAlign w:val="top"/>
          </w:tcPr>
          <w:p w14:paraId="19658014">
            <w:pPr>
              <w:pStyle w:val="8"/>
              <w:spacing w:before="46" w:line="218" w:lineRule="auto"/>
              <w:ind w:left="115"/>
              <w:rPr>
                <w:color w:val="auto"/>
              </w:rPr>
            </w:pPr>
            <w:r>
              <w:rPr>
                <w:color w:val="auto"/>
                <w:spacing w:val="-6"/>
              </w:rPr>
              <w:t>行次</w:t>
            </w:r>
          </w:p>
        </w:tc>
        <w:tc>
          <w:tcPr>
            <w:tcW w:w="1095" w:type="dxa"/>
            <w:shd w:val="clear" w:color="auto" w:fill="C0C0C0"/>
            <w:vAlign w:val="top"/>
          </w:tcPr>
          <w:p w14:paraId="131A5BE3">
            <w:pPr>
              <w:pStyle w:val="8"/>
              <w:spacing w:before="46" w:line="218" w:lineRule="auto"/>
              <w:ind w:left="334"/>
              <w:rPr>
                <w:color w:val="auto"/>
              </w:rPr>
            </w:pPr>
            <w:r>
              <w:rPr>
                <w:color w:val="auto"/>
                <w:spacing w:val="-5"/>
              </w:rPr>
              <w:t>金额</w:t>
            </w:r>
          </w:p>
        </w:tc>
        <w:tc>
          <w:tcPr>
            <w:tcW w:w="3514" w:type="dxa"/>
            <w:shd w:val="clear" w:color="auto" w:fill="C0C0C0"/>
            <w:vAlign w:val="top"/>
          </w:tcPr>
          <w:p w14:paraId="1E749E90">
            <w:pPr>
              <w:pStyle w:val="8"/>
              <w:spacing w:before="46" w:line="218" w:lineRule="auto"/>
              <w:ind w:left="1547"/>
              <w:rPr>
                <w:color w:val="auto"/>
              </w:rPr>
            </w:pPr>
            <w:r>
              <w:rPr>
                <w:color w:val="auto"/>
                <w:spacing w:val="-6"/>
              </w:rPr>
              <w:t>项目</w:t>
            </w:r>
          </w:p>
        </w:tc>
        <w:tc>
          <w:tcPr>
            <w:tcW w:w="656" w:type="dxa"/>
            <w:shd w:val="clear" w:color="auto" w:fill="C0C0C0"/>
            <w:vAlign w:val="top"/>
          </w:tcPr>
          <w:p w14:paraId="6B7F234B">
            <w:pPr>
              <w:pStyle w:val="8"/>
              <w:spacing w:before="46" w:line="218" w:lineRule="auto"/>
              <w:ind w:left="118"/>
              <w:rPr>
                <w:color w:val="auto"/>
              </w:rPr>
            </w:pPr>
            <w:r>
              <w:rPr>
                <w:color w:val="auto"/>
                <w:spacing w:val="-6"/>
              </w:rPr>
              <w:t>行次</w:t>
            </w:r>
          </w:p>
        </w:tc>
        <w:tc>
          <w:tcPr>
            <w:tcW w:w="1291" w:type="dxa"/>
            <w:shd w:val="clear" w:color="auto" w:fill="C0C0C0"/>
            <w:vAlign w:val="top"/>
          </w:tcPr>
          <w:p w14:paraId="0DC2D5E4">
            <w:pPr>
              <w:pStyle w:val="8"/>
              <w:spacing w:before="46" w:line="218" w:lineRule="auto"/>
              <w:ind w:left="433"/>
              <w:rPr>
                <w:color w:val="auto"/>
              </w:rPr>
            </w:pPr>
            <w:r>
              <w:rPr>
                <w:color w:val="auto"/>
                <w:spacing w:val="-5"/>
              </w:rPr>
              <w:t>金额</w:t>
            </w:r>
          </w:p>
        </w:tc>
      </w:tr>
      <w:tr w14:paraId="5769F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19" w:type="dxa"/>
            <w:shd w:val="clear" w:color="auto" w:fill="C0C0C0"/>
            <w:vAlign w:val="top"/>
          </w:tcPr>
          <w:p w14:paraId="481817C7">
            <w:pPr>
              <w:pStyle w:val="8"/>
              <w:spacing w:before="47" w:line="217" w:lineRule="auto"/>
              <w:ind w:left="1697"/>
              <w:rPr>
                <w:color w:val="auto"/>
              </w:rPr>
            </w:pPr>
            <w:r>
              <w:rPr>
                <w:color w:val="auto"/>
                <w:spacing w:val="-4"/>
              </w:rPr>
              <w:t>栏次</w:t>
            </w:r>
          </w:p>
        </w:tc>
        <w:tc>
          <w:tcPr>
            <w:tcW w:w="656" w:type="dxa"/>
            <w:shd w:val="clear" w:color="auto" w:fill="C0C0C0"/>
            <w:vAlign w:val="top"/>
          </w:tcPr>
          <w:p w14:paraId="06F2553E">
            <w:pPr>
              <w:rPr>
                <w:rFonts w:ascii="Arial"/>
                <w:color w:val="auto"/>
                <w:sz w:val="21"/>
              </w:rPr>
            </w:pPr>
          </w:p>
        </w:tc>
        <w:tc>
          <w:tcPr>
            <w:tcW w:w="1095" w:type="dxa"/>
            <w:shd w:val="clear" w:color="auto" w:fill="C0C0C0"/>
            <w:vAlign w:val="top"/>
          </w:tcPr>
          <w:p w14:paraId="6DDEA71D">
            <w:pPr>
              <w:pStyle w:val="8"/>
              <w:spacing w:before="81" w:line="184" w:lineRule="auto"/>
              <w:ind w:left="514"/>
              <w:rPr>
                <w:color w:val="auto"/>
              </w:rPr>
            </w:pPr>
            <w:r>
              <w:rPr>
                <w:color w:val="auto"/>
              </w:rPr>
              <w:t>1</w:t>
            </w:r>
          </w:p>
        </w:tc>
        <w:tc>
          <w:tcPr>
            <w:tcW w:w="3514" w:type="dxa"/>
            <w:shd w:val="clear" w:color="auto" w:fill="C0C0C0"/>
            <w:vAlign w:val="top"/>
          </w:tcPr>
          <w:p w14:paraId="4AB0055B">
            <w:pPr>
              <w:pStyle w:val="8"/>
              <w:spacing w:before="47" w:line="217" w:lineRule="auto"/>
              <w:ind w:left="1543"/>
              <w:rPr>
                <w:color w:val="auto"/>
              </w:rPr>
            </w:pPr>
            <w:r>
              <w:rPr>
                <w:color w:val="auto"/>
                <w:spacing w:val="-4"/>
              </w:rPr>
              <w:t>栏次</w:t>
            </w:r>
          </w:p>
        </w:tc>
        <w:tc>
          <w:tcPr>
            <w:tcW w:w="656" w:type="dxa"/>
            <w:shd w:val="clear" w:color="auto" w:fill="C0C0C0"/>
            <w:vAlign w:val="top"/>
          </w:tcPr>
          <w:p w14:paraId="22A48B84">
            <w:pPr>
              <w:rPr>
                <w:rFonts w:ascii="Arial"/>
                <w:color w:val="auto"/>
                <w:sz w:val="21"/>
              </w:rPr>
            </w:pPr>
          </w:p>
        </w:tc>
        <w:tc>
          <w:tcPr>
            <w:tcW w:w="1291" w:type="dxa"/>
            <w:shd w:val="clear" w:color="auto" w:fill="C0C0C0"/>
            <w:vAlign w:val="top"/>
          </w:tcPr>
          <w:p w14:paraId="0E4966AF">
            <w:pPr>
              <w:pStyle w:val="8"/>
              <w:spacing w:before="81" w:line="184" w:lineRule="auto"/>
              <w:ind w:left="599"/>
              <w:rPr>
                <w:color w:val="auto"/>
              </w:rPr>
            </w:pPr>
            <w:r>
              <w:rPr>
                <w:color w:val="auto"/>
              </w:rPr>
              <w:t>2</w:t>
            </w:r>
          </w:p>
        </w:tc>
      </w:tr>
      <w:tr w14:paraId="51ECA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7E1AB77F">
            <w:pPr>
              <w:pStyle w:val="8"/>
              <w:spacing w:before="48" w:line="217" w:lineRule="auto"/>
              <w:ind w:left="118"/>
              <w:rPr>
                <w:color w:val="auto"/>
              </w:rPr>
            </w:pPr>
            <w:r>
              <w:rPr>
                <w:color w:val="auto"/>
                <w:spacing w:val="-1"/>
              </w:rPr>
              <w:t>一、一般公共预算财政拨款收入</w:t>
            </w:r>
          </w:p>
        </w:tc>
        <w:tc>
          <w:tcPr>
            <w:tcW w:w="656" w:type="dxa"/>
            <w:shd w:val="clear" w:color="auto" w:fill="C0C0C0"/>
            <w:vAlign w:val="top"/>
          </w:tcPr>
          <w:p w14:paraId="00BD82D8">
            <w:pPr>
              <w:pStyle w:val="8"/>
              <w:spacing w:before="82" w:line="184" w:lineRule="auto"/>
              <w:ind w:left="294"/>
              <w:rPr>
                <w:color w:val="auto"/>
              </w:rPr>
            </w:pPr>
            <w:r>
              <w:rPr>
                <w:color w:val="auto"/>
              </w:rPr>
              <w:t>1</w:t>
            </w:r>
          </w:p>
        </w:tc>
        <w:tc>
          <w:tcPr>
            <w:tcW w:w="1095" w:type="dxa"/>
            <w:vAlign w:val="center"/>
          </w:tcPr>
          <w:p w14:paraId="5CEE33F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797.56</w:t>
            </w:r>
          </w:p>
        </w:tc>
        <w:tc>
          <w:tcPr>
            <w:tcW w:w="3514" w:type="dxa"/>
            <w:shd w:val="clear" w:color="auto" w:fill="C0C0C0"/>
            <w:vAlign w:val="top"/>
          </w:tcPr>
          <w:p w14:paraId="62B9DB73">
            <w:pPr>
              <w:pStyle w:val="8"/>
              <w:spacing w:before="48" w:line="217" w:lineRule="auto"/>
              <w:ind w:left="116"/>
              <w:rPr>
                <w:color w:val="auto"/>
              </w:rPr>
            </w:pPr>
            <w:r>
              <w:rPr>
                <w:color w:val="auto"/>
                <w:spacing w:val="-2"/>
              </w:rPr>
              <w:t>一、一般公共服务支出</w:t>
            </w:r>
          </w:p>
        </w:tc>
        <w:tc>
          <w:tcPr>
            <w:tcW w:w="656" w:type="dxa"/>
            <w:shd w:val="clear" w:color="auto" w:fill="C0C0C0"/>
            <w:vAlign w:val="top"/>
          </w:tcPr>
          <w:p w14:paraId="4956045D">
            <w:pPr>
              <w:pStyle w:val="8"/>
              <w:spacing w:before="82" w:line="184" w:lineRule="auto"/>
              <w:ind w:left="230"/>
              <w:rPr>
                <w:color w:val="auto"/>
              </w:rPr>
            </w:pPr>
            <w:r>
              <w:rPr>
                <w:color w:val="auto"/>
                <w:spacing w:val="-7"/>
              </w:rPr>
              <w:t>32</w:t>
            </w:r>
          </w:p>
        </w:tc>
        <w:tc>
          <w:tcPr>
            <w:tcW w:w="1291" w:type="dxa"/>
            <w:vAlign w:val="center"/>
          </w:tcPr>
          <w:p w14:paraId="643A736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96.41</w:t>
            </w:r>
          </w:p>
        </w:tc>
      </w:tr>
      <w:tr w14:paraId="20AC8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2A3D1622">
            <w:pPr>
              <w:pStyle w:val="8"/>
              <w:spacing w:before="49" w:line="216" w:lineRule="auto"/>
              <w:ind w:left="118"/>
              <w:rPr>
                <w:color w:val="auto"/>
              </w:rPr>
            </w:pPr>
            <w:r>
              <w:rPr>
                <w:color w:val="auto"/>
                <w:spacing w:val="-1"/>
              </w:rPr>
              <w:t>二、政府性基金预算财政拨款收入</w:t>
            </w:r>
          </w:p>
        </w:tc>
        <w:tc>
          <w:tcPr>
            <w:tcW w:w="656" w:type="dxa"/>
            <w:shd w:val="clear" w:color="auto" w:fill="C0C0C0"/>
            <w:vAlign w:val="top"/>
          </w:tcPr>
          <w:p w14:paraId="6F7ACA6A">
            <w:pPr>
              <w:pStyle w:val="8"/>
              <w:spacing w:before="84" w:line="184" w:lineRule="auto"/>
              <w:ind w:left="280"/>
              <w:rPr>
                <w:color w:val="auto"/>
              </w:rPr>
            </w:pPr>
            <w:r>
              <w:rPr>
                <w:color w:val="auto"/>
              </w:rPr>
              <w:t>2</w:t>
            </w:r>
          </w:p>
        </w:tc>
        <w:tc>
          <w:tcPr>
            <w:tcW w:w="1095" w:type="dxa"/>
            <w:vAlign w:val="center"/>
          </w:tcPr>
          <w:p w14:paraId="7305DE1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46552011">
            <w:pPr>
              <w:pStyle w:val="8"/>
              <w:spacing w:before="49" w:line="216" w:lineRule="auto"/>
              <w:ind w:left="116"/>
              <w:rPr>
                <w:color w:val="auto"/>
              </w:rPr>
            </w:pPr>
            <w:r>
              <w:rPr>
                <w:color w:val="auto"/>
                <w:spacing w:val="-2"/>
              </w:rPr>
              <w:t>二、外交支出</w:t>
            </w:r>
          </w:p>
        </w:tc>
        <w:tc>
          <w:tcPr>
            <w:tcW w:w="656" w:type="dxa"/>
            <w:shd w:val="clear" w:color="auto" w:fill="C0C0C0"/>
            <w:vAlign w:val="top"/>
          </w:tcPr>
          <w:p w14:paraId="462E4E9B">
            <w:pPr>
              <w:pStyle w:val="8"/>
              <w:spacing w:before="84" w:line="184" w:lineRule="auto"/>
              <w:ind w:left="230"/>
              <w:rPr>
                <w:color w:val="auto"/>
              </w:rPr>
            </w:pPr>
            <w:r>
              <w:rPr>
                <w:color w:val="auto"/>
                <w:spacing w:val="-7"/>
              </w:rPr>
              <w:t>33</w:t>
            </w:r>
          </w:p>
        </w:tc>
        <w:tc>
          <w:tcPr>
            <w:tcW w:w="1291" w:type="dxa"/>
            <w:vAlign w:val="center"/>
          </w:tcPr>
          <w:p w14:paraId="4FB59C4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394C5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19" w:type="dxa"/>
            <w:shd w:val="clear" w:color="auto" w:fill="C0C0C0"/>
            <w:vAlign w:val="top"/>
          </w:tcPr>
          <w:p w14:paraId="0AD10D93">
            <w:pPr>
              <w:pStyle w:val="8"/>
              <w:spacing w:before="49" w:line="215" w:lineRule="auto"/>
              <w:ind w:left="115"/>
              <w:rPr>
                <w:color w:val="auto"/>
              </w:rPr>
            </w:pPr>
            <w:r>
              <w:rPr>
                <w:color w:val="auto"/>
                <w:spacing w:val="-1"/>
              </w:rPr>
              <w:t>三、国有资本经营预算财政拨款收入</w:t>
            </w:r>
          </w:p>
        </w:tc>
        <w:tc>
          <w:tcPr>
            <w:tcW w:w="656" w:type="dxa"/>
            <w:shd w:val="clear" w:color="auto" w:fill="C0C0C0"/>
            <w:vAlign w:val="top"/>
          </w:tcPr>
          <w:p w14:paraId="43EB817B">
            <w:pPr>
              <w:pStyle w:val="8"/>
              <w:spacing w:before="84" w:line="184" w:lineRule="auto"/>
              <w:ind w:left="282"/>
              <w:rPr>
                <w:color w:val="auto"/>
              </w:rPr>
            </w:pPr>
            <w:r>
              <w:rPr>
                <w:color w:val="auto"/>
              </w:rPr>
              <w:t>3</w:t>
            </w:r>
          </w:p>
        </w:tc>
        <w:tc>
          <w:tcPr>
            <w:tcW w:w="1095" w:type="dxa"/>
            <w:vAlign w:val="center"/>
          </w:tcPr>
          <w:p w14:paraId="19DE03D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1FEC8F1D">
            <w:pPr>
              <w:pStyle w:val="8"/>
              <w:spacing w:before="49" w:line="215" w:lineRule="auto"/>
              <w:ind w:left="113"/>
              <w:rPr>
                <w:color w:val="auto"/>
              </w:rPr>
            </w:pPr>
            <w:r>
              <w:rPr>
                <w:color w:val="auto"/>
                <w:spacing w:val="-2"/>
              </w:rPr>
              <w:t>三、国防支出</w:t>
            </w:r>
          </w:p>
        </w:tc>
        <w:tc>
          <w:tcPr>
            <w:tcW w:w="656" w:type="dxa"/>
            <w:shd w:val="clear" w:color="auto" w:fill="C0C0C0"/>
            <w:vAlign w:val="top"/>
          </w:tcPr>
          <w:p w14:paraId="5D78BFFB">
            <w:pPr>
              <w:pStyle w:val="8"/>
              <w:spacing w:before="84" w:line="184" w:lineRule="auto"/>
              <w:ind w:left="230"/>
              <w:rPr>
                <w:color w:val="auto"/>
              </w:rPr>
            </w:pPr>
            <w:r>
              <w:rPr>
                <w:color w:val="auto"/>
                <w:spacing w:val="-7"/>
              </w:rPr>
              <w:t>34</w:t>
            </w:r>
          </w:p>
        </w:tc>
        <w:tc>
          <w:tcPr>
            <w:tcW w:w="1291" w:type="dxa"/>
            <w:vAlign w:val="center"/>
          </w:tcPr>
          <w:p w14:paraId="6DCFE62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7D0D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19" w:type="dxa"/>
            <w:shd w:val="clear" w:color="auto" w:fill="C0C0C0"/>
            <w:vAlign w:val="top"/>
          </w:tcPr>
          <w:p w14:paraId="36DF4CA5">
            <w:pPr>
              <w:pStyle w:val="8"/>
              <w:spacing w:before="49" w:line="215" w:lineRule="auto"/>
              <w:ind w:left="136"/>
              <w:rPr>
                <w:color w:val="auto"/>
              </w:rPr>
            </w:pPr>
            <w:r>
              <w:rPr>
                <w:color w:val="auto"/>
                <w:spacing w:val="-4"/>
              </w:rPr>
              <w:t>四、上级补助收入</w:t>
            </w:r>
          </w:p>
        </w:tc>
        <w:tc>
          <w:tcPr>
            <w:tcW w:w="656" w:type="dxa"/>
            <w:shd w:val="clear" w:color="auto" w:fill="C0C0C0"/>
            <w:vAlign w:val="top"/>
          </w:tcPr>
          <w:p w14:paraId="0533BF73">
            <w:pPr>
              <w:pStyle w:val="8"/>
              <w:spacing w:before="84" w:line="184" w:lineRule="auto"/>
              <w:ind w:left="277"/>
              <w:rPr>
                <w:color w:val="auto"/>
              </w:rPr>
            </w:pPr>
            <w:r>
              <w:rPr>
                <w:color w:val="auto"/>
              </w:rPr>
              <w:t>4</w:t>
            </w:r>
          </w:p>
        </w:tc>
        <w:tc>
          <w:tcPr>
            <w:tcW w:w="1095" w:type="dxa"/>
            <w:vAlign w:val="center"/>
          </w:tcPr>
          <w:p w14:paraId="0F16B5E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7D77CC16">
            <w:pPr>
              <w:pStyle w:val="8"/>
              <w:spacing w:before="49" w:line="215" w:lineRule="auto"/>
              <w:ind w:left="134"/>
              <w:rPr>
                <w:color w:val="auto"/>
              </w:rPr>
            </w:pPr>
            <w:r>
              <w:rPr>
                <w:color w:val="auto"/>
                <w:spacing w:val="-4"/>
              </w:rPr>
              <w:t>四、公共安全支出</w:t>
            </w:r>
          </w:p>
        </w:tc>
        <w:tc>
          <w:tcPr>
            <w:tcW w:w="656" w:type="dxa"/>
            <w:shd w:val="clear" w:color="auto" w:fill="C0C0C0"/>
            <w:vAlign w:val="top"/>
          </w:tcPr>
          <w:p w14:paraId="2FF3E03E">
            <w:pPr>
              <w:pStyle w:val="8"/>
              <w:spacing w:before="84" w:line="184" w:lineRule="auto"/>
              <w:ind w:left="230"/>
              <w:rPr>
                <w:color w:val="auto"/>
              </w:rPr>
            </w:pPr>
            <w:r>
              <w:rPr>
                <w:color w:val="auto"/>
                <w:spacing w:val="-7"/>
              </w:rPr>
              <w:t>35</w:t>
            </w:r>
          </w:p>
        </w:tc>
        <w:tc>
          <w:tcPr>
            <w:tcW w:w="1291" w:type="dxa"/>
            <w:vAlign w:val="center"/>
          </w:tcPr>
          <w:p w14:paraId="3C25332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3EFF7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013ADCAD">
            <w:pPr>
              <w:pStyle w:val="8"/>
              <w:spacing w:before="50" w:line="215" w:lineRule="auto"/>
              <w:ind w:left="118"/>
              <w:rPr>
                <w:color w:val="auto"/>
              </w:rPr>
            </w:pPr>
            <w:r>
              <w:rPr>
                <w:color w:val="auto"/>
                <w:spacing w:val="-2"/>
              </w:rPr>
              <w:t>五、事业收入</w:t>
            </w:r>
          </w:p>
        </w:tc>
        <w:tc>
          <w:tcPr>
            <w:tcW w:w="656" w:type="dxa"/>
            <w:shd w:val="clear" w:color="auto" w:fill="C0C0C0"/>
            <w:vAlign w:val="top"/>
          </w:tcPr>
          <w:p w14:paraId="2D53A73F">
            <w:pPr>
              <w:pStyle w:val="8"/>
              <w:spacing w:before="87" w:line="182" w:lineRule="auto"/>
              <w:ind w:left="282"/>
              <w:rPr>
                <w:color w:val="auto"/>
              </w:rPr>
            </w:pPr>
            <w:r>
              <w:rPr>
                <w:color w:val="auto"/>
              </w:rPr>
              <w:t>5</w:t>
            </w:r>
          </w:p>
        </w:tc>
        <w:tc>
          <w:tcPr>
            <w:tcW w:w="1095" w:type="dxa"/>
            <w:vAlign w:val="center"/>
          </w:tcPr>
          <w:p w14:paraId="45CA1FE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053395CE">
            <w:pPr>
              <w:pStyle w:val="8"/>
              <w:spacing w:before="50" w:line="215" w:lineRule="auto"/>
              <w:ind w:left="116"/>
              <w:rPr>
                <w:color w:val="auto"/>
              </w:rPr>
            </w:pPr>
            <w:r>
              <w:rPr>
                <w:color w:val="auto"/>
                <w:spacing w:val="-2"/>
              </w:rPr>
              <w:t>五、教育支出</w:t>
            </w:r>
          </w:p>
        </w:tc>
        <w:tc>
          <w:tcPr>
            <w:tcW w:w="656" w:type="dxa"/>
            <w:shd w:val="clear" w:color="auto" w:fill="C0C0C0"/>
            <w:vAlign w:val="top"/>
          </w:tcPr>
          <w:p w14:paraId="30EB3F89">
            <w:pPr>
              <w:pStyle w:val="8"/>
              <w:spacing w:before="85" w:line="184" w:lineRule="auto"/>
              <w:ind w:left="230"/>
              <w:rPr>
                <w:color w:val="auto"/>
              </w:rPr>
            </w:pPr>
            <w:r>
              <w:rPr>
                <w:color w:val="auto"/>
                <w:spacing w:val="-7"/>
              </w:rPr>
              <w:t>36</w:t>
            </w:r>
          </w:p>
        </w:tc>
        <w:tc>
          <w:tcPr>
            <w:tcW w:w="1291" w:type="dxa"/>
            <w:vAlign w:val="center"/>
          </w:tcPr>
          <w:p w14:paraId="72CAE23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49E93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53280181">
            <w:pPr>
              <w:pStyle w:val="8"/>
              <w:spacing w:before="50" w:line="215" w:lineRule="auto"/>
              <w:ind w:left="117"/>
              <w:rPr>
                <w:color w:val="auto"/>
              </w:rPr>
            </w:pPr>
            <w:r>
              <w:rPr>
                <w:color w:val="auto"/>
                <w:spacing w:val="-2"/>
              </w:rPr>
              <w:t>六、经营收入</w:t>
            </w:r>
          </w:p>
        </w:tc>
        <w:tc>
          <w:tcPr>
            <w:tcW w:w="656" w:type="dxa"/>
            <w:shd w:val="clear" w:color="auto" w:fill="C0C0C0"/>
            <w:vAlign w:val="top"/>
          </w:tcPr>
          <w:p w14:paraId="35BBF1E0">
            <w:pPr>
              <w:pStyle w:val="8"/>
              <w:spacing w:before="84" w:line="184" w:lineRule="auto"/>
              <w:ind w:left="279"/>
              <w:rPr>
                <w:color w:val="auto"/>
              </w:rPr>
            </w:pPr>
            <w:r>
              <w:rPr>
                <w:color w:val="auto"/>
              </w:rPr>
              <w:t>6</w:t>
            </w:r>
          </w:p>
        </w:tc>
        <w:tc>
          <w:tcPr>
            <w:tcW w:w="1095" w:type="dxa"/>
            <w:vAlign w:val="center"/>
          </w:tcPr>
          <w:p w14:paraId="60A0428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6DF76A57">
            <w:pPr>
              <w:pStyle w:val="8"/>
              <w:spacing w:before="50" w:line="215" w:lineRule="auto"/>
              <w:ind w:left="115"/>
              <w:rPr>
                <w:color w:val="auto"/>
              </w:rPr>
            </w:pPr>
            <w:r>
              <w:rPr>
                <w:color w:val="auto"/>
                <w:spacing w:val="-2"/>
              </w:rPr>
              <w:t>六、科学技术支出</w:t>
            </w:r>
          </w:p>
        </w:tc>
        <w:tc>
          <w:tcPr>
            <w:tcW w:w="656" w:type="dxa"/>
            <w:shd w:val="clear" w:color="auto" w:fill="C0C0C0"/>
            <w:vAlign w:val="top"/>
          </w:tcPr>
          <w:p w14:paraId="49365E24">
            <w:pPr>
              <w:pStyle w:val="8"/>
              <w:spacing w:before="84" w:line="184" w:lineRule="auto"/>
              <w:ind w:left="230"/>
              <w:rPr>
                <w:color w:val="auto"/>
              </w:rPr>
            </w:pPr>
            <w:r>
              <w:rPr>
                <w:color w:val="auto"/>
                <w:spacing w:val="-7"/>
              </w:rPr>
              <w:t>37</w:t>
            </w:r>
          </w:p>
        </w:tc>
        <w:tc>
          <w:tcPr>
            <w:tcW w:w="1291" w:type="dxa"/>
            <w:vAlign w:val="center"/>
          </w:tcPr>
          <w:p w14:paraId="3D235EA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6B024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189A773A">
            <w:pPr>
              <w:pStyle w:val="8"/>
              <w:spacing w:before="49" w:line="216" w:lineRule="auto"/>
              <w:ind w:left="114"/>
              <w:rPr>
                <w:color w:val="auto"/>
              </w:rPr>
            </w:pPr>
            <w:r>
              <w:rPr>
                <w:color w:val="auto"/>
                <w:spacing w:val="-1"/>
              </w:rPr>
              <w:t>七、附属单位上缴收入</w:t>
            </w:r>
          </w:p>
        </w:tc>
        <w:tc>
          <w:tcPr>
            <w:tcW w:w="656" w:type="dxa"/>
            <w:shd w:val="clear" w:color="auto" w:fill="C0C0C0"/>
            <w:vAlign w:val="top"/>
          </w:tcPr>
          <w:p w14:paraId="0344B1C7">
            <w:pPr>
              <w:pStyle w:val="8"/>
              <w:spacing w:before="86" w:line="182" w:lineRule="auto"/>
              <w:ind w:left="283"/>
              <w:rPr>
                <w:color w:val="auto"/>
              </w:rPr>
            </w:pPr>
            <w:r>
              <w:rPr>
                <w:color w:val="auto"/>
              </w:rPr>
              <w:t>7</w:t>
            </w:r>
          </w:p>
        </w:tc>
        <w:tc>
          <w:tcPr>
            <w:tcW w:w="1095" w:type="dxa"/>
            <w:vAlign w:val="center"/>
          </w:tcPr>
          <w:p w14:paraId="123E70C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04A56197">
            <w:pPr>
              <w:pStyle w:val="8"/>
              <w:spacing w:before="49" w:line="216" w:lineRule="auto"/>
              <w:ind w:left="112"/>
              <w:rPr>
                <w:color w:val="auto"/>
              </w:rPr>
            </w:pPr>
            <w:r>
              <w:rPr>
                <w:color w:val="auto"/>
                <w:spacing w:val="-1"/>
              </w:rPr>
              <w:t>七、文化旅游体育与传媒支出</w:t>
            </w:r>
          </w:p>
        </w:tc>
        <w:tc>
          <w:tcPr>
            <w:tcW w:w="656" w:type="dxa"/>
            <w:shd w:val="clear" w:color="auto" w:fill="C0C0C0"/>
            <w:vAlign w:val="top"/>
          </w:tcPr>
          <w:p w14:paraId="41C72675">
            <w:pPr>
              <w:pStyle w:val="8"/>
              <w:spacing w:before="84" w:line="184" w:lineRule="auto"/>
              <w:ind w:left="230"/>
              <w:rPr>
                <w:color w:val="auto"/>
              </w:rPr>
            </w:pPr>
            <w:r>
              <w:rPr>
                <w:color w:val="auto"/>
                <w:spacing w:val="-7"/>
              </w:rPr>
              <w:t>38</w:t>
            </w:r>
          </w:p>
        </w:tc>
        <w:tc>
          <w:tcPr>
            <w:tcW w:w="1291" w:type="dxa"/>
            <w:vAlign w:val="center"/>
          </w:tcPr>
          <w:p w14:paraId="2E3245A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5C69A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7375F336">
            <w:pPr>
              <w:pStyle w:val="8"/>
              <w:spacing w:before="51" w:line="214" w:lineRule="auto"/>
              <w:ind w:left="118"/>
              <w:rPr>
                <w:color w:val="auto"/>
              </w:rPr>
            </w:pPr>
            <w:r>
              <w:rPr>
                <w:color w:val="auto"/>
                <w:spacing w:val="-2"/>
              </w:rPr>
              <w:t>八、其他收入</w:t>
            </w:r>
          </w:p>
        </w:tc>
        <w:tc>
          <w:tcPr>
            <w:tcW w:w="656" w:type="dxa"/>
            <w:shd w:val="clear" w:color="auto" w:fill="C0C0C0"/>
            <w:vAlign w:val="top"/>
          </w:tcPr>
          <w:p w14:paraId="3B8B5780">
            <w:pPr>
              <w:pStyle w:val="8"/>
              <w:spacing w:before="86" w:line="184" w:lineRule="auto"/>
              <w:ind w:left="278"/>
              <w:rPr>
                <w:color w:val="auto"/>
              </w:rPr>
            </w:pPr>
            <w:r>
              <w:rPr>
                <w:color w:val="auto"/>
              </w:rPr>
              <w:t>8</w:t>
            </w:r>
          </w:p>
        </w:tc>
        <w:tc>
          <w:tcPr>
            <w:tcW w:w="1095" w:type="dxa"/>
            <w:vAlign w:val="center"/>
          </w:tcPr>
          <w:p w14:paraId="40CFF80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1,295.52</w:t>
            </w:r>
          </w:p>
        </w:tc>
        <w:tc>
          <w:tcPr>
            <w:tcW w:w="3514" w:type="dxa"/>
            <w:shd w:val="clear" w:color="auto" w:fill="C0C0C0"/>
            <w:vAlign w:val="top"/>
          </w:tcPr>
          <w:p w14:paraId="48D080F5">
            <w:pPr>
              <w:pStyle w:val="8"/>
              <w:spacing w:before="51" w:line="214" w:lineRule="auto"/>
              <w:ind w:left="116"/>
              <w:rPr>
                <w:color w:val="auto"/>
              </w:rPr>
            </w:pPr>
            <w:r>
              <w:rPr>
                <w:color w:val="auto"/>
                <w:spacing w:val="-1"/>
              </w:rPr>
              <w:t>八、社会保障和就业支出</w:t>
            </w:r>
          </w:p>
        </w:tc>
        <w:tc>
          <w:tcPr>
            <w:tcW w:w="656" w:type="dxa"/>
            <w:shd w:val="clear" w:color="auto" w:fill="C0C0C0"/>
            <w:vAlign w:val="top"/>
          </w:tcPr>
          <w:p w14:paraId="14F817BB">
            <w:pPr>
              <w:pStyle w:val="8"/>
              <w:spacing w:before="86" w:line="184" w:lineRule="auto"/>
              <w:ind w:left="230"/>
              <w:rPr>
                <w:color w:val="auto"/>
              </w:rPr>
            </w:pPr>
            <w:r>
              <w:rPr>
                <w:color w:val="auto"/>
                <w:spacing w:val="-7"/>
              </w:rPr>
              <w:t>39</w:t>
            </w:r>
          </w:p>
        </w:tc>
        <w:tc>
          <w:tcPr>
            <w:tcW w:w="1291" w:type="dxa"/>
            <w:vAlign w:val="center"/>
          </w:tcPr>
          <w:p w14:paraId="12F12B6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FE19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029B4A57">
            <w:pPr>
              <w:rPr>
                <w:rFonts w:ascii="Arial"/>
                <w:color w:val="auto"/>
                <w:sz w:val="21"/>
              </w:rPr>
            </w:pPr>
          </w:p>
        </w:tc>
        <w:tc>
          <w:tcPr>
            <w:tcW w:w="656" w:type="dxa"/>
            <w:shd w:val="clear" w:color="auto" w:fill="C0C0C0"/>
            <w:vAlign w:val="top"/>
          </w:tcPr>
          <w:p w14:paraId="1C9E93C4">
            <w:pPr>
              <w:pStyle w:val="8"/>
              <w:spacing w:before="86" w:line="184" w:lineRule="auto"/>
              <w:ind w:left="278"/>
              <w:rPr>
                <w:color w:val="auto"/>
              </w:rPr>
            </w:pPr>
            <w:r>
              <w:rPr>
                <w:color w:val="auto"/>
              </w:rPr>
              <w:t>9</w:t>
            </w:r>
          </w:p>
        </w:tc>
        <w:tc>
          <w:tcPr>
            <w:tcW w:w="1095" w:type="dxa"/>
            <w:vAlign w:val="center"/>
          </w:tcPr>
          <w:p w14:paraId="696E2B9D">
            <w:pPr>
              <w:jc w:val="right"/>
              <w:rPr>
                <w:rFonts w:ascii="Arial"/>
                <w:color w:val="auto"/>
                <w:sz w:val="21"/>
              </w:rPr>
            </w:pPr>
          </w:p>
        </w:tc>
        <w:tc>
          <w:tcPr>
            <w:tcW w:w="3514" w:type="dxa"/>
            <w:shd w:val="clear" w:color="auto" w:fill="C0C0C0"/>
            <w:vAlign w:val="top"/>
          </w:tcPr>
          <w:p w14:paraId="75791037">
            <w:pPr>
              <w:pStyle w:val="8"/>
              <w:spacing w:before="51" w:line="214" w:lineRule="auto"/>
              <w:ind w:left="118"/>
              <w:rPr>
                <w:color w:val="auto"/>
              </w:rPr>
            </w:pPr>
            <w:r>
              <w:rPr>
                <w:color w:val="auto"/>
                <w:spacing w:val="-2"/>
              </w:rPr>
              <w:t>九、卫生健康支出</w:t>
            </w:r>
          </w:p>
        </w:tc>
        <w:tc>
          <w:tcPr>
            <w:tcW w:w="656" w:type="dxa"/>
            <w:shd w:val="clear" w:color="auto" w:fill="C0C0C0"/>
            <w:vAlign w:val="top"/>
          </w:tcPr>
          <w:p w14:paraId="1AA22251">
            <w:pPr>
              <w:pStyle w:val="8"/>
              <w:spacing w:before="86" w:line="184" w:lineRule="auto"/>
              <w:ind w:left="224"/>
              <w:rPr>
                <w:color w:val="auto"/>
              </w:rPr>
            </w:pPr>
            <w:r>
              <w:rPr>
                <w:color w:val="auto"/>
                <w:spacing w:val="-4"/>
              </w:rPr>
              <w:t>40</w:t>
            </w:r>
          </w:p>
        </w:tc>
        <w:tc>
          <w:tcPr>
            <w:tcW w:w="1291" w:type="dxa"/>
            <w:vAlign w:val="center"/>
          </w:tcPr>
          <w:p w14:paraId="3F0CEE4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2F5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4A4C5747">
            <w:pPr>
              <w:rPr>
                <w:rFonts w:ascii="Arial"/>
                <w:color w:val="auto"/>
                <w:sz w:val="21"/>
              </w:rPr>
            </w:pPr>
          </w:p>
        </w:tc>
        <w:tc>
          <w:tcPr>
            <w:tcW w:w="656" w:type="dxa"/>
            <w:shd w:val="clear" w:color="auto" w:fill="C0C0C0"/>
            <w:vAlign w:val="top"/>
          </w:tcPr>
          <w:p w14:paraId="1E641A5A">
            <w:pPr>
              <w:pStyle w:val="8"/>
              <w:spacing w:before="85" w:line="184" w:lineRule="auto"/>
              <w:ind w:left="239"/>
              <w:rPr>
                <w:color w:val="auto"/>
              </w:rPr>
            </w:pPr>
            <w:r>
              <w:rPr>
                <w:color w:val="auto"/>
                <w:spacing w:val="-13"/>
              </w:rPr>
              <w:t>10</w:t>
            </w:r>
          </w:p>
        </w:tc>
        <w:tc>
          <w:tcPr>
            <w:tcW w:w="1095" w:type="dxa"/>
            <w:vAlign w:val="center"/>
          </w:tcPr>
          <w:p w14:paraId="47CAD14E">
            <w:pPr>
              <w:jc w:val="right"/>
              <w:rPr>
                <w:rFonts w:ascii="Arial"/>
                <w:color w:val="auto"/>
                <w:sz w:val="21"/>
              </w:rPr>
            </w:pPr>
          </w:p>
        </w:tc>
        <w:tc>
          <w:tcPr>
            <w:tcW w:w="3514" w:type="dxa"/>
            <w:shd w:val="clear" w:color="auto" w:fill="C0C0C0"/>
            <w:vAlign w:val="top"/>
          </w:tcPr>
          <w:p w14:paraId="3E5B1008">
            <w:pPr>
              <w:pStyle w:val="8"/>
              <w:spacing w:before="50" w:line="215" w:lineRule="auto"/>
              <w:ind w:left="114"/>
              <w:rPr>
                <w:color w:val="auto"/>
              </w:rPr>
            </w:pPr>
            <w:r>
              <w:rPr>
                <w:color w:val="auto"/>
                <w:spacing w:val="-1"/>
              </w:rPr>
              <w:t>十、节能环保支出</w:t>
            </w:r>
          </w:p>
        </w:tc>
        <w:tc>
          <w:tcPr>
            <w:tcW w:w="656" w:type="dxa"/>
            <w:shd w:val="clear" w:color="auto" w:fill="C0C0C0"/>
            <w:vAlign w:val="top"/>
          </w:tcPr>
          <w:p w14:paraId="5C5995D8">
            <w:pPr>
              <w:pStyle w:val="8"/>
              <w:spacing w:before="85" w:line="184" w:lineRule="auto"/>
              <w:ind w:left="224"/>
              <w:rPr>
                <w:color w:val="auto"/>
              </w:rPr>
            </w:pPr>
            <w:r>
              <w:rPr>
                <w:color w:val="auto"/>
                <w:spacing w:val="-4"/>
              </w:rPr>
              <w:t>41</w:t>
            </w:r>
          </w:p>
        </w:tc>
        <w:tc>
          <w:tcPr>
            <w:tcW w:w="1291" w:type="dxa"/>
            <w:vAlign w:val="center"/>
          </w:tcPr>
          <w:p w14:paraId="663843F6">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63D4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240E9543">
            <w:pPr>
              <w:rPr>
                <w:rFonts w:ascii="Arial"/>
                <w:color w:val="auto"/>
                <w:sz w:val="21"/>
              </w:rPr>
            </w:pPr>
          </w:p>
        </w:tc>
        <w:tc>
          <w:tcPr>
            <w:tcW w:w="656" w:type="dxa"/>
            <w:shd w:val="clear" w:color="auto" w:fill="C0C0C0"/>
            <w:vAlign w:val="top"/>
          </w:tcPr>
          <w:p w14:paraId="644D3100">
            <w:pPr>
              <w:pStyle w:val="8"/>
              <w:spacing w:before="85" w:line="184" w:lineRule="auto"/>
              <w:ind w:left="239"/>
              <w:rPr>
                <w:color w:val="auto"/>
              </w:rPr>
            </w:pPr>
            <w:r>
              <w:rPr>
                <w:color w:val="auto"/>
                <w:spacing w:val="-13"/>
              </w:rPr>
              <w:t>11</w:t>
            </w:r>
          </w:p>
        </w:tc>
        <w:tc>
          <w:tcPr>
            <w:tcW w:w="1095" w:type="dxa"/>
            <w:vAlign w:val="center"/>
          </w:tcPr>
          <w:p w14:paraId="6CCD8B86">
            <w:pPr>
              <w:jc w:val="right"/>
              <w:rPr>
                <w:rFonts w:ascii="Arial"/>
                <w:color w:val="auto"/>
                <w:sz w:val="21"/>
              </w:rPr>
            </w:pPr>
          </w:p>
        </w:tc>
        <w:tc>
          <w:tcPr>
            <w:tcW w:w="3514" w:type="dxa"/>
            <w:shd w:val="clear" w:color="auto" w:fill="C0C0C0"/>
            <w:vAlign w:val="top"/>
          </w:tcPr>
          <w:p w14:paraId="50073851">
            <w:pPr>
              <w:pStyle w:val="8"/>
              <w:spacing w:before="50" w:line="215" w:lineRule="auto"/>
              <w:ind w:left="114"/>
              <w:rPr>
                <w:color w:val="auto"/>
              </w:rPr>
            </w:pPr>
            <w:r>
              <w:rPr>
                <w:color w:val="auto"/>
                <w:spacing w:val="-1"/>
              </w:rPr>
              <w:t>十一、城乡社区支出</w:t>
            </w:r>
          </w:p>
        </w:tc>
        <w:tc>
          <w:tcPr>
            <w:tcW w:w="656" w:type="dxa"/>
            <w:shd w:val="clear" w:color="auto" w:fill="C0C0C0"/>
            <w:vAlign w:val="top"/>
          </w:tcPr>
          <w:p w14:paraId="416C45BE">
            <w:pPr>
              <w:pStyle w:val="8"/>
              <w:spacing w:before="85" w:line="184" w:lineRule="auto"/>
              <w:ind w:left="224"/>
              <w:rPr>
                <w:color w:val="auto"/>
              </w:rPr>
            </w:pPr>
            <w:r>
              <w:rPr>
                <w:color w:val="auto"/>
                <w:spacing w:val="-4"/>
              </w:rPr>
              <w:t>42</w:t>
            </w:r>
          </w:p>
        </w:tc>
        <w:tc>
          <w:tcPr>
            <w:tcW w:w="1291" w:type="dxa"/>
            <w:vAlign w:val="center"/>
          </w:tcPr>
          <w:p w14:paraId="527C4DA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6ED0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581AF31F">
            <w:pPr>
              <w:rPr>
                <w:rFonts w:ascii="Arial"/>
                <w:color w:val="auto"/>
                <w:sz w:val="21"/>
              </w:rPr>
            </w:pPr>
          </w:p>
        </w:tc>
        <w:tc>
          <w:tcPr>
            <w:tcW w:w="656" w:type="dxa"/>
            <w:shd w:val="clear" w:color="auto" w:fill="C0C0C0"/>
            <w:vAlign w:val="top"/>
          </w:tcPr>
          <w:p w14:paraId="472A9FEF">
            <w:pPr>
              <w:pStyle w:val="8"/>
              <w:spacing w:before="84" w:line="184" w:lineRule="auto"/>
              <w:ind w:left="239"/>
              <w:rPr>
                <w:color w:val="auto"/>
              </w:rPr>
            </w:pPr>
            <w:r>
              <w:rPr>
                <w:color w:val="auto"/>
                <w:spacing w:val="-13"/>
              </w:rPr>
              <w:t>12</w:t>
            </w:r>
          </w:p>
        </w:tc>
        <w:tc>
          <w:tcPr>
            <w:tcW w:w="1095" w:type="dxa"/>
            <w:vAlign w:val="center"/>
          </w:tcPr>
          <w:p w14:paraId="3B0188D8">
            <w:pPr>
              <w:jc w:val="right"/>
              <w:rPr>
                <w:rFonts w:ascii="Arial"/>
                <w:color w:val="auto"/>
                <w:sz w:val="21"/>
              </w:rPr>
            </w:pPr>
          </w:p>
        </w:tc>
        <w:tc>
          <w:tcPr>
            <w:tcW w:w="3514" w:type="dxa"/>
            <w:shd w:val="clear" w:color="auto" w:fill="C0C0C0"/>
            <w:vAlign w:val="top"/>
          </w:tcPr>
          <w:p w14:paraId="1756CBA6">
            <w:pPr>
              <w:pStyle w:val="8"/>
              <w:spacing w:before="50" w:line="215" w:lineRule="auto"/>
              <w:ind w:left="114"/>
              <w:rPr>
                <w:color w:val="auto"/>
              </w:rPr>
            </w:pPr>
            <w:r>
              <w:rPr>
                <w:color w:val="auto"/>
                <w:spacing w:val="-1"/>
              </w:rPr>
              <w:t>十二、农林水支出</w:t>
            </w:r>
          </w:p>
        </w:tc>
        <w:tc>
          <w:tcPr>
            <w:tcW w:w="656" w:type="dxa"/>
            <w:shd w:val="clear" w:color="auto" w:fill="C0C0C0"/>
            <w:vAlign w:val="top"/>
          </w:tcPr>
          <w:p w14:paraId="48433144">
            <w:pPr>
              <w:pStyle w:val="8"/>
              <w:spacing w:before="84" w:line="184" w:lineRule="auto"/>
              <w:ind w:left="224"/>
              <w:rPr>
                <w:color w:val="auto"/>
              </w:rPr>
            </w:pPr>
            <w:r>
              <w:rPr>
                <w:color w:val="auto"/>
                <w:spacing w:val="-4"/>
              </w:rPr>
              <w:t>43</w:t>
            </w:r>
          </w:p>
        </w:tc>
        <w:tc>
          <w:tcPr>
            <w:tcW w:w="1291" w:type="dxa"/>
            <w:vAlign w:val="center"/>
          </w:tcPr>
          <w:p w14:paraId="09D9BDE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r>
      <w:tr w14:paraId="6EDEC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11186CB8">
            <w:pPr>
              <w:rPr>
                <w:rFonts w:ascii="Arial"/>
                <w:color w:val="auto"/>
                <w:sz w:val="21"/>
              </w:rPr>
            </w:pPr>
          </w:p>
        </w:tc>
        <w:tc>
          <w:tcPr>
            <w:tcW w:w="656" w:type="dxa"/>
            <w:shd w:val="clear" w:color="auto" w:fill="C0C0C0"/>
            <w:vAlign w:val="top"/>
          </w:tcPr>
          <w:p w14:paraId="124BFDC0">
            <w:pPr>
              <w:pStyle w:val="8"/>
              <w:spacing w:before="84" w:line="184" w:lineRule="auto"/>
              <w:ind w:left="239"/>
              <w:rPr>
                <w:color w:val="auto"/>
              </w:rPr>
            </w:pPr>
            <w:r>
              <w:rPr>
                <w:color w:val="auto"/>
                <w:spacing w:val="-13"/>
              </w:rPr>
              <w:t>13</w:t>
            </w:r>
          </w:p>
        </w:tc>
        <w:tc>
          <w:tcPr>
            <w:tcW w:w="1095" w:type="dxa"/>
            <w:vAlign w:val="center"/>
          </w:tcPr>
          <w:p w14:paraId="187392D6">
            <w:pPr>
              <w:jc w:val="right"/>
              <w:rPr>
                <w:rFonts w:ascii="Arial"/>
                <w:color w:val="auto"/>
                <w:sz w:val="21"/>
              </w:rPr>
            </w:pPr>
          </w:p>
        </w:tc>
        <w:tc>
          <w:tcPr>
            <w:tcW w:w="3514" w:type="dxa"/>
            <w:shd w:val="clear" w:color="auto" w:fill="C0C0C0"/>
            <w:vAlign w:val="top"/>
          </w:tcPr>
          <w:p w14:paraId="381618EC">
            <w:pPr>
              <w:pStyle w:val="8"/>
              <w:spacing w:before="49" w:line="216" w:lineRule="auto"/>
              <w:ind w:left="114"/>
              <w:rPr>
                <w:color w:val="auto"/>
              </w:rPr>
            </w:pPr>
            <w:r>
              <w:rPr>
                <w:color w:val="auto"/>
                <w:spacing w:val="-1"/>
              </w:rPr>
              <w:t>十三、交通运输支出</w:t>
            </w:r>
          </w:p>
        </w:tc>
        <w:tc>
          <w:tcPr>
            <w:tcW w:w="656" w:type="dxa"/>
            <w:shd w:val="clear" w:color="auto" w:fill="C0C0C0"/>
            <w:vAlign w:val="top"/>
          </w:tcPr>
          <w:p w14:paraId="34476FA6">
            <w:pPr>
              <w:pStyle w:val="8"/>
              <w:spacing w:before="84" w:line="184" w:lineRule="auto"/>
              <w:ind w:left="224"/>
              <w:rPr>
                <w:color w:val="auto"/>
              </w:rPr>
            </w:pPr>
            <w:r>
              <w:rPr>
                <w:color w:val="auto"/>
                <w:spacing w:val="-4"/>
              </w:rPr>
              <w:t>44</w:t>
            </w:r>
          </w:p>
        </w:tc>
        <w:tc>
          <w:tcPr>
            <w:tcW w:w="1291" w:type="dxa"/>
            <w:vAlign w:val="center"/>
          </w:tcPr>
          <w:p w14:paraId="51E51D2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C1D0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60699BD2">
            <w:pPr>
              <w:rPr>
                <w:rFonts w:ascii="Arial"/>
                <w:color w:val="auto"/>
                <w:sz w:val="21"/>
              </w:rPr>
            </w:pPr>
          </w:p>
        </w:tc>
        <w:tc>
          <w:tcPr>
            <w:tcW w:w="656" w:type="dxa"/>
            <w:shd w:val="clear" w:color="auto" w:fill="C0C0C0"/>
            <w:vAlign w:val="top"/>
          </w:tcPr>
          <w:p w14:paraId="48649095">
            <w:pPr>
              <w:pStyle w:val="8"/>
              <w:spacing w:before="86" w:line="184" w:lineRule="auto"/>
              <w:ind w:left="239"/>
              <w:rPr>
                <w:color w:val="auto"/>
              </w:rPr>
            </w:pPr>
            <w:r>
              <w:rPr>
                <w:color w:val="auto"/>
                <w:spacing w:val="-13"/>
              </w:rPr>
              <w:t>14</w:t>
            </w:r>
          </w:p>
        </w:tc>
        <w:tc>
          <w:tcPr>
            <w:tcW w:w="1095" w:type="dxa"/>
            <w:vAlign w:val="center"/>
          </w:tcPr>
          <w:p w14:paraId="792C2908">
            <w:pPr>
              <w:jc w:val="right"/>
              <w:rPr>
                <w:rFonts w:ascii="Arial"/>
                <w:color w:val="auto"/>
                <w:sz w:val="21"/>
              </w:rPr>
            </w:pPr>
          </w:p>
        </w:tc>
        <w:tc>
          <w:tcPr>
            <w:tcW w:w="3514" w:type="dxa"/>
            <w:shd w:val="clear" w:color="auto" w:fill="C0C0C0"/>
            <w:vAlign w:val="top"/>
          </w:tcPr>
          <w:p w14:paraId="3919976A">
            <w:pPr>
              <w:pStyle w:val="8"/>
              <w:spacing w:before="51" w:line="214" w:lineRule="auto"/>
              <w:ind w:left="114"/>
              <w:rPr>
                <w:color w:val="auto"/>
              </w:rPr>
            </w:pPr>
            <w:r>
              <w:rPr>
                <w:color w:val="auto"/>
                <w:spacing w:val="-1"/>
              </w:rPr>
              <w:t>十四、资源勘探工业信息等支出</w:t>
            </w:r>
          </w:p>
        </w:tc>
        <w:tc>
          <w:tcPr>
            <w:tcW w:w="656" w:type="dxa"/>
            <w:shd w:val="clear" w:color="auto" w:fill="C0C0C0"/>
            <w:vAlign w:val="top"/>
          </w:tcPr>
          <w:p w14:paraId="6236BDB8">
            <w:pPr>
              <w:pStyle w:val="8"/>
              <w:spacing w:before="86" w:line="184" w:lineRule="auto"/>
              <w:ind w:left="224"/>
              <w:rPr>
                <w:color w:val="auto"/>
              </w:rPr>
            </w:pPr>
            <w:r>
              <w:rPr>
                <w:color w:val="auto"/>
                <w:spacing w:val="-4"/>
              </w:rPr>
              <w:t>45</w:t>
            </w:r>
          </w:p>
        </w:tc>
        <w:tc>
          <w:tcPr>
            <w:tcW w:w="1291" w:type="dxa"/>
            <w:vAlign w:val="center"/>
          </w:tcPr>
          <w:p w14:paraId="5BC8920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64FD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545E6501">
            <w:pPr>
              <w:rPr>
                <w:rFonts w:ascii="Arial"/>
                <w:color w:val="auto"/>
                <w:sz w:val="21"/>
              </w:rPr>
            </w:pPr>
          </w:p>
        </w:tc>
        <w:tc>
          <w:tcPr>
            <w:tcW w:w="656" w:type="dxa"/>
            <w:shd w:val="clear" w:color="auto" w:fill="C0C0C0"/>
            <w:vAlign w:val="top"/>
          </w:tcPr>
          <w:p w14:paraId="5231AE2B">
            <w:pPr>
              <w:pStyle w:val="8"/>
              <w:spacing w:before="86" w:line="184" w:lineRule="auto"/>
              <w:ind w:left="239"/>
              <w:rPr>
                <w:color w:val="auto"/>
              </w:rPr>
            </w:pPr>
            <w:r>
              <w:rPr>
                <w:color w:val="auto"/>
                <w:spacing w:val="-13"/>
              </w:rPr>
              <w:t>15</w:t>
            </w:r>
          </w:p>
        </w:tc>
        <w:tc>
          <w:tcPr>
            <w:tcW w:w="1095" w:type="dxa"/>
            <w:vAlign w:val="center"/>
          </w:tcPr>
          <w:p w14:paraId="41EFF15B">
            <w:pPr>
              <w:jc w:val="right"/>
              <w:rPr>
                <w:rFonts w:ascii="Arial"/>
                <w:color w:val="auto"/>
                <w:sz w:val="21"/>
              </w:rPr>
            </w:pPr>
          </w:p>
        </w:tc>
        <w:tc>
          <w:tcPr>
            <w:tcW w:w="3514" w:type="dxa"/>
            <w:shd w:val="clear" w:color="auto" w:fill="C0C0C0"/>
            <w:vAlign w:val="top"/>
          </w:tcPr>
          <w:p w14:paraId="5C209C52">
            <w:pPr>
              <w:pStyle w:val="8"/>
              <w:spacing w:before="51" w:line="214" w:lineRule="auto"/>
              <w:ind w:left="114"/>
              <w:rPr>
                <w:color w:val="auto"/>
              </w:rPr>
            </w:pPr>
            <w:r>
              <w:rPr>
                <w:color w:val="auto"/>
                <w:spacing w:val="-1"/>
              </w:rPr>
              <w:t>十五、商业服务业等支出</w:t>
            </w:r>
          </w:p>
        </w:tc>
        <w:tc>
          <w:tcPr>
            <w:tcW w:w="656" w:type="dxa"/>
            <w:shd w:val="clear" w:color="auto" w:fill="C0C0C0"/>
            <w:vAlign w:val="top"/>
          </w:tcPr>
          <w:p w14:paraId="74B66B53">
            <w:pPr>
              <w:pStyle w:val="8"/>
              <w:spacing w:before="86" w:line="184" w:lineRule="auto"/>
              <w:ind w:left="224"/>
              <w:rPr>
                <w:color w:val="auto"/>
              </w:rPr>
            </w:pPr>
            <w:r>
              <w:rPr>
                <w:color w:val="auto"/>
                <w:spacing w:val="-4"/>
              </w:rPr>
              <w:t>46</w:t>
            </w:r>
          </w:p>
        </w:tc>
        <w:tc>
          <w:tcPr>
            <w:tcW w:w="1291" w:type="dxa"/>
            <w:vAlign w:val="center"/>
          </w:tcPr>
          <w:p w14:paraId="6F3DD39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720C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666F330A">
            <w:pPr>
              <w:rPr>
                <w:rFonts w:ascii="Arial"/>
                <w:color w:val="auto"/>
                <w:sz w:val="21"/>
              </w:rPr>
            </w:pPr>
          </w:p>
        </w:tc>
        <w:tc>
          <w:tcPr>
            <w:tcW w:w="656" w:type="dxa"/>
            <w:shd w:val="clear" w:color="auto" w:fill="C0C0C0"/>
            <w:vAlign w:val="top"/>
          </w:tcPr>
          <w:p w14:paraId="0346A528">
            <w:pPr>
              <w:pStyle w:val="8"/>
              <w:spacing w:before="85" w:line="184" w:lineRule="auto"/>
              <w:ind w:left="239"/>
              <w:rPr>
                <w:color w:val="auto"/>
              </w:rPr>
            </w:pPr>
            <w:r>
              <w:rPr>
                <w:color w:val="auto"/>
                <w:spacing w:val="-13"/>
              </w:rPr>
              <w:t>16</w:t>
            </w:r>
          </w:p>
        </w:tc>
        <w:tc>
          <w:tcPr>
            <w:tcW w:w="1095" w:type="dxa"/>
            <w:vAlign w:val="center"/>
          </w:tcPr>
          <w:p w14:paraId="018E072E">
            <w:pPr>
              <w:jc w:val="right"/>
              <w:rPr>
                <w:rFonts w:ascii="Arial"/>
                <w:color w:val="auto"/>
                <w:sz w:val="21"/>
              </w:rPr>
            </w:pPr>
          </w:p>
        </w:tc>
        <w:tc>
          <w:tcPr>
            <w:tcW w:w="3514" w:type="dxa"/>
            <w:shd w:val="clear" w:color="auto" w:fill="C0C0C0"/>
            <w:vAlign w:val="top"/>
          </w:tcPr>
          <w:p w14:paraId="596A9F62">
            <w:pPr>
              <w:pStyle w:val="8"/>
              <w:spacing w:before="50" w:line="215" w:lineRule="auto"/>
              <w:ind w:left="114"/>
              <w:rPr>
                <w:color w:val="auto"/>
              </w:rPr>
            </w:pPr>
            <w:r>
              <w:rPr>
                <w:color w:val="auto"/>
                <w:spacing w:val="-2"/>
              </w:rPr>
              <w:t>十六、金融支出</w:t>
            </w:r>
          </w:p>
        </w:tc>
        <w:tc>
          <w:tcPr>
            <w:tcW w:w="656" w:type="dxa"/>
            <w:shd w:val="clear" w:color="auto" w:fill="C0C0C0"/>
            <w:vAlign w:val="top"/>
          </w:tcPr>
          <w:p w14:paraId="1913FC61">
            <w:pPr>
              <w:pStyle w:val="8"/>
              <w:spacing w:before="85" w:line="184" w:lineRule="auto"/>
              <w:ind w:left="224"/>
              <w:rPr>
                <w:color w:val="auto"/>
              </w:rPr>
            </w:pPr>
            <w:r>
              <w:rPr>
                <w:color w:val="auto"/>
                <w:spacing w:val="-4"/>
              </w:rPr>
              <w:t>47</w:t>
            </w:r>
          </w:p>
        </w:tc>
        <w:tc>
          <w:tcPr>
            <w:tcW w:w="1291" w:type="dxa"/>
            <w:vAlign w:val="center"/>
          </w:tcPr>
          <w:p w14:paraId="045E3FA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5919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7F1ED7D0">
            <w:pPr>
              <w:rPr>
                <w:rFonts w:ascii="Arial"/>
                <w:color w:val="auto"/>
                <w:sz w:val="21"/>
              </w:rPr>
            </w:pPr>
          </w:p>
        </w:tc>
        <w:tc>
          <w:tcPr>
            <w:tcW w:w="656" w:type="dxa"/>
            <w:shd w:val="clear" w:color="auto" w:fill="C0C0C0"/>
            <w:vAlign w:val="top"/>
          </w:tcPr>
          <w:p w14:paraId="34877D3D">
            <w:pPr>
              <w:pStyle w:val="8"/>
              <w:spacing w:before="85" w:line="184" w:lineRule="auto"/>
              <w:ind w:left="239"/>
              <w:rPr>
                <w:color w:val="auto"/>
              </w:rPr>
            </w:pPr>
            <w:r>
              <w:rPr>
                <w:color w:val="auto"/>
                <w:spacing w:val="-13"/>
              </w:rPr>
              <w:t>17</w:t>
            </w:r>
          </w:p>
        </w:tc>
        <w:tc>
          <w:tcPr>
            <w:tcW w:w="1095" w:type="dxa"/>
            <w:vAlign w:val="center"/>
          </w:tcPr>
          <w:p w14:paraId="2DD8F0DD">
            <w:pPr>
              <w:jc w:val="right"/>
              <w:rPr>
                <w:rFonts w:ascii="Arial"/>
                <w:color w:val="auto"/>
                <w:sz w:val="21"/>
              </w:rPr>
            </w:pPr>
          </w:p>
        </w:tc>
        <w:tc>
          <w:tcPr>
            <w:tcW w:w="3514" w:type="dxa"/>
            <w:shd w:val="clear" w:color="auto" w:fill="C0C0C0"/>
            <w:vAlign w:val="top"/>
          </w:tcPr>
          <w:p w14:paraId="2C908F6E">
            <w:pPr>
              <w:pStyle w:val="8"/>
              <w:spacing w:before="50" w:line="215" w:lineRule="auto"/>
              <w:ind w:left="114"/>
              <w:rPr>
                <w:color w:val="auto"/>
              </w:rPr>
            </w:pPr>
            <w:r>
              <w:rPr>
                <w:color w:val="auto"/>
                <w:spacing w:val="-1"/>
              </w:rPr>
              <w:t>十七、援助其他地区支出</w:t>
            </w:r>
          </w:p>
        </w:tc>
        <w:tc>
          <w:tcPr>
            <w:tcW w:w="656" w:type="dxa"/>
            <w:shd w:val="clear" w:color="auto" w:fill="C0C0C0"/>
            <w:vAlign w:val="top"/>
          </w:tcPr>
          <w:p w14:paraId="1B93DF39">
            <w:pPr>
              <w:pStyle w:val="8"/>
              <w:spacing w:before="85" w:line="184" w:lineRule="auto"/>
              <w:ind w:left="224"/>
              <w:rPr>
                <w:color w:val="auto"/>
              </w:rPr>
            </w:pPr>
            <w:r>
              <w:rPr>
                <w:color w:val="auto"/>
                <w:spacing w:val="-4"/>
              </w:rPr>
              <w:t>48</w:t>
            </w:r>
          </w:p>
        </w:tc>
        <w:tc>
          <w:tcPr>
            <w:tcW w:w="1291" w:type="dxa"/>
            <w:vAlign w:val="center"/>
          </w:tcPr>
          <w:p w14:paraId="7B46B4D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34CA1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75C7C287">
            <w:pPr>
              <w:rPr>
                <w:rFonts w:ascii="Arial"/>
                <w:color w:val="auto"/>
                <w:sz w:val="21"/>
              </w:rPr>
            </w:pPr>
          </w:p>
        </w:tc>
        <w:tc>
          <w:tcPr>
            <w:tcW w:w="656" w:type="dxa"/>
            <w:shd w:val="clear" w:color="auto" w:fill="C0C0C0"/>
            <w:vAlign w:val="top"/>
          </w:tcPr>
          <w:p w14:paraId="3D6C850E">
            <w:pPr>
              <w:pStyle w:val="8"/>
              <w:spacing w:before="84" w:line="184" w:lineRule="auto"/>
              <w:ind w:left="239"/>
              <w:rPr>
                <w:color w:val="auto"/>
              </w:rPr>
            </w:pPr>
            <w:r>
              <w:rPr>
                <w:color w:val="auto"/>
                <w:spacing w:val="-13"/>
              </w:rPr>
              <w:t>18</w:t>
            </w:r>
          </w:p>
        </w:tc>
        <w:tc>
          <w:tcPr>
            <w:tcW w:w="1095" w:type="dxa"/>
            <w:vAlign w:val="center"/>
          </w:tcPr>
          <w:p w14:paraId="04E95F13">
            <w:pPr>
              <w:jc w:val="right"/>
              <w:rPr>
                <w:rFonts w:ascii="Arial"/>
                <w:color w:val="auto"/>
                <w:sz w:val="21"/>
              </w:rPr>
            </w:pPr>
          </w:p>
        </w:tc>
        <w:tc>
          <w:tcPr>
            <w:tcW w:w="3514" w:type="dxa"/>
            <w:shd w:val="clear" w:color="auto" w:fill="C0C0C0"/>
            <w:vAlign w:val="top"/>
          </w:tcPr>
          <w:p w14:paraId="17E5ACC1">
            <w:pPr>
              <w:pStyle w:val="8"/>
              <w:spacing w:before="50" w:line="215" w:lineRule="auto"/>
              <w:ind w:left="114"/>
              <w:rPr>
                <w:color w:val="auto"/>
              </w:rPr>
            </w:pPr>
            <w:r>
              <w:rPr>
                <w:color w:val="auto"/>
                <w:spacing w:val="-4"/>
              </w:rPr>
              <w:t>十八、</w:t>
            </w:r>
            <w:r>
              <w:rPr>
                <w:color w:val="auto"/>
                <w:spacing w:val="-63"/>
              </w:rPr>
              <w:t xml:space="preserve"> </w:t>
            </w:r>
            <w:r>
              <w:rPr>
                <w:color w:val="auto"/>
                <w:spacing w:val="-4"/>
              </w:rPr>
              <w:t>自然资源海洋气象等支出</w:t>
            </w:r>
          </w:p>
        </w:tc>
        <w:tc>
          <w:tcPr>
            <w:tcW w:w="656" w:type="dxa"/>
            <w:shd w:val="clear" w:color="auto" w:fill="C0C0C0"/>
            <w:vAlign w:val="top"/>
          </w:tcPr>
          <w:p w14:paraId="29A82F00">
            <w:pPr>
              <w:pStyle w:val="8"/>
              <w:spacing w:before="84" w:line="184" w:lineRule="auto"/>
              <w:ind w:left="224"/>
              <w:rPr>
                <w:color w:val="auto"/>
              </w:rPr>
            </w:pPr>
            <w:r>
              <w:rPr>
                <w:color w:val="auto"/>
                <w:spacing w:val="-4"/>
              </w:rPr>
              <w:t>49</w:t>
            </w:r>
          </w:p>
        </w:tc>
        <w:tc>
          <w:tcPr>
            <w:tcW w:w="1291" w:type="dxa"/>
            <w:vAlign w:val="center"/>
          </w:tcPr>
          <w:p w14:paraId="2AA77AF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1,959.15</w:t>
            </w:r>
          </w:p>
        </w:tc>
      </w:tr>
      <w:tr w14:paraId="28BBF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48796333">
            <w:pPr>
              <w:rPr>
                <w:rFonts w:ascii="Arial"/>
                <w:color w:val="auto"/>
                <w:sz w:val="21"/>
              </w:rPr>
            </w:pPr>
          </w:p>
        </w:tc>
        <w:tc>
          <w:tcPr>
            <w:tcW w:w="656" w:type="dxa"/>
            <w:shd w:val="clear" w:color="auto" w:fill="C0C0C0"/>
            <w:vAlign w:val="top"/>
          </w:tcPr>
          <w:p w14:paraId="0B3CDD5F">
            <w:pPr>
              <w:pStyle w:val="8"/>
              <w:spacing w:before="84" w:line="184" w:lineRule="auto"/>
              <w:ind w:left="239"/>
              <w:rPr>
                <w:color w:val="auto"/>
              </w:rPr>
            </w:pPr>
            <w:r>
              <w:rPr>
                <w:color w:val="auto"/>
                <w:spacing w:val="-13"/>
              </w:rPr>
              <w:t>19</w:t>
            </w:r>
          </w:p>
        </w:tc>
        <w:tc>
          <w:tcPr>
            <w:tcW w:w="1095" w:type="dxa"/>
            <w:vAlign w:val="center"/>
          </w:tcPr>
          <w:p w14:paraId="7F2B2439">
            <w:pPr>
              <w:jc w:val="right"/>
              <w:rPr>
                <w:rFonts w:ascii="Arial"/>
                <w:color w:val="auto"/>
                <w:sz w:val="21"/>
              </w:rPr>
            </w:pPr>
          </w:p>
        </w:tc>
        <w:tc>
          <w:tcPr>
            <w:tcW w:w="3514" w:type="dxa"/>
            <w:shd w:val="clear" w:color="auto" w:fill="C0C0C0"/>
            <w:vAlign w:val="top"/>
          </w:tcPr>
          <w:p w14:paraId="4A999F40">
            <w:pPr>
              <w:pStyle w:val="8"/>
              <w:spacing w:before="49" w:line="216" w:lineRule="auto"/>
              <w:ind w:left="114"/>
              <w:rPr>
                <w:color w:val="auto"/>
              </w:rPr>
            </w:pPr>
            <w:r>
              <w:rPr>
                <w:color w:val="auto"/>
                <w:spacing w:val="-1"/>
              </w:rPr>
              <w:t>十九、住房保障支出</w:t>
            </w:r>
          </w:p>
        </w:tc>
        <w:tc>
          <w:tcPr>
            <w:tcW w:w="656" w:type="dxa"/>
            <w:shd w:val="clear" w:color="auto" w:fill="C0C0C0"/>
            <w:vAlign w:val="top"/>
          </w:tcPr>
          <w:p w14:paraId="4F819CCA">
            <w:pPr>
              <w:pStyle w:val="8"/>
              <w:spacing w:before="84" w:line="184" w:lineRule="auto"/>
              <w:ind w:left="230"/>
              <w:rPr>
                <w:color w:val="auto"/>
              </w:rPr>
            </w:pPr>
            <w:r>
              <w:rPr>
                <w:color w:val="auto"/>
                <w:spacing w:val="-7"/>
              </w:rPr>
              <w:t>50</w:t>
            </w:r>
          </w:p>
        </w:tc>
        <w:tc>
          <w:tcPr>
            <w:tcW w:w="1291" w:type="dxa"/>
            <w:vAlign w:val="center"/>
          </w:tcPr>
          <w:p w14:paraId="368DA10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DFDF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657BBC40">
            <w:pPr>
              <w:rPr>
                <w:rFonts w:ascii="Arial"/>
                <w:color w:val="auto"/>
                <w:sz w:val="21"/>
              </w:rPr>
            </w:pPr>
          </w:p>
        </w:tc>
        <w:tc>
          <w:tcPr>
            <w:tcW w:w="656" w:type="dxa"/>
            <w:shd w:val="clear" w:color="auto" w:fill="C0C0C0"/>
            <w:vAlign w:val="top"/>
          </w:tcPr>
          <w:p w14:paraId="5CB9B0CA">
            <w:pPr>
              <w:pStyle w:val="8"/>
              <w:spacing w:before="86" w:line="184" w:lineRule="auto"/>
              <w:ind w:left="225"/>
              <w:rPr>
                <w:color w:val="auto"/>
              </w:rPr>
            </w:pPr>
            <w:r>
              <w:rPr>
                <w:color w:val="auto"/>
                <w:spacing w:val="-6"/>
              </w:rPr>
              <w:t>20</w:t>
            </w:r>
          </w:p>
        </w:tc>
        <w:tc>
          <w:tcPr>
            <w:tcW w:w="1095" w:type="dxa"/>
            <w:vAlign w:val="center"/>
          </w:tcPr>
          <w:p w14:paraId="5CDCEAFA">
            <w:pPr>
              <w:jc w:val="right"/>
              <w:rPr>
                <w:rFonts w:ascii="Arial"/>
                <w:color w:val="auto"/>
                <w:sz w:val="21"/>
              </w:rPr>
            </w:pPr>
          </w:p>
        </w:tc>
        <w:tc>
          <w:tcPr>
            <w:tcW w:w="3514" w:type="dxa"/>
            <w:shd w:val="clear" w:color="auto" w:fill="C0C0C0"/>
            <w:vAlign w:val="top"/>
          </w:tcPr>
          <w:p w14:paraId="5E57D6A7">
            <w:pPr>
              <w:pStyle w:val="8"/>
              <w:spacing w:before="51" w:line="214" w:lineRule="auto"/>
              <w:ind w:left="116"/>
              <w:rPr>
                <w:color w:val="auto"/>
              </w:rPr>
            </w:pPr>
            <w:r>
              <w:rPr>
                <w:color w:val="auto"/>
                <w:spacing w:val="-1"/>
              </w:rPr>
              <w:t>二十、粮油物资储备支出</w:t>
            </w:r>
          </w:p>
        </w:tc>
        <w:tc>
          <w:tcPr>
            <w:tcW w:w="656" w:type="dxa"/>
            <w:shd w:val="clear" w:color="auto" w:fill="C0C0C0"/>
            <w:vAlign w:val="top"/>
          </w:tcPr>
          <w:p w14:paraId="2AE5B46B">
            <w:pPr>
              <w:pStyle w:val="8"/>
              <w:spacing w:before="86" w:line="184" w:lineRule="auto"/>
              <w:ind w:left="230"/>
              <w:rPr>
                <w:color w:val="auto"/>
              </w:rPr>
            </w:pPr>
            <w:r>
              <w:rPr>
                <w:color w:val="auto"/>
                <w:spacing w:val="-7"/>
              </w:rPr>
              <w:t>51</w:t>
            </w:r>
          </w:p>
        </w:tc>
        <w:tc>
          <w:tcPr>
            <w:tcW w:w="1291" w:type="dxa"/>
            <w:vAlign w:val="center"/>
          </w:tcPr>
          <w:p w14:paraId="0BF4B276">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73F5E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5197F842">
            <w:pPr>
              <w:rPr>
                <w:rFonts w:ascii="Arial"/>
                <w:color w:val="auto"/>
                <w:sz w:val="21"/>
              </w:rPr>
            </w:pPr>
          </w:p>
        </w:tc>
        <w:tc>
          <w:tcPr>
            <w:tcW w:w="656" w:type="dxa"/>
            <w:shd w:val="clear" w:color="auto" w:fill="C0C0C0"/>
            <w:vAlign w:val="top"/>
          </w:tcPr>
          <w:p w14:paraId="04C3DCBD">
            <w:pPr>
              <w:pStyle w:val="8"/>
              <w:spacing w:before="85" w:line="184" w:lineRule="auto"/>
              <w:ind w:left="225"/>
              <w:rPr>
                <w:color w:val="auto"/>
              </w:rPr>
            </w:pPr>
            <w:r>
              <w:rPr>
                <w:color w:val="auto"/>
                <w:spacing w:val="-6"/>
              </w:rPr>
              <w:t>21</w:t>
            </w:r>
          </w:p>
        </w:tc>
        <w:tc>
          <w:tcPr>
            <w:tcW w:w="1095" w:type="dxa"/>
            <w:vAlign w:val="center"/>
          </w:tcPr>
          <w:p w14:paraId="54905CE5">
            <w:pPr>
              <w:jc w:val="right"/>
              <w:rPr>
                <w:rFonts w:ascii="Arial"/>
                <w:color w:val="auto"/>
                <w:sz w:val="21"/>
              </w:rPr>
            </w:pPr>
          </w:p>
        </w:tc>
        <w:tc>
          <w:tcPr>
            <w:tcW w:w="3514" w:type="dxa"/>
            <w:shd w:val="clear" w:color="auto" w:fill="C0C0C0"/>
            <w:vAlign w:val="top"/>
          </w:tcPr>
          <w:p w14:paraId="7C2A1128">
            <w:pPr>
              <w:pStyle w:val="8"/>
              <w:spacing w:before="51" w:line="214" w:lineRule="auto"/>
              <w:ind w:left="116"/>
              <w:rPr>
                <w:color w:val="auto"/>
              </w:rPr>
            </w:pPr>
            <w:r>
              <w:rPr>
                <w:color w:val="auto"/>
                <w:spacing w:val="-1"/>
              </w:rPr>
              <w:t>二十一、国有资本经营预算支出</w:t>
            </w:r>
          </w:p>
        </w:tc>
        <w:tc>
          <w:tcPr>
            <w:tcW w:w="656" w:type="dxa"/>
            <w:shd w:val="clear" w:color="auto" w:fill="C0C0C0"/>
            <w:vAlign w:val="top"/>
          </w:tcPr>
          <w:p w14:paraId="6F3D6B6B">
            <w:pPr>
              <w:pStyle w:val="8"/>
              <w:spacing w:before="86" w:line="184" w:lineRule="auto"/>
              <w:ind w:left="230"/>
              <w:rPr>
                <w:color w:val="auto"/>
              </w:rPr>
            </w:pPr>
            <w:r>
              <w:rPr>
                <w:color w:val="auto"/>
                <w:spacing w:val="-7"/>
              </w:rPr>
              <w:t>52</w:t>
            </w:r>
          </w:p>
        </w:tc>
        <w:tc>
          <w:tcPr>
            <w:tcW w:w="1291" w:type="dxa"/>
            <w:vAlign w:val="center"/>
          </w:tcPr>
          <w:p w14:paraId="024850F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39529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41154E7D">
            <w:pPr>
              <w:rPr>
                <w:rFonts w:ascii="Arial"/>
                <w:color w:val="auto"/>
                <w:sz w:val="21"/>
              </w:rPr>
            </w:pPr>
          </w:p>
        </w:tc>
        <w:tc>
          <w:tcPr>
            <w:tcW w:w="656" w:type="dxa"/>
            <w:shd w:val="clear" w:color="auto" w:fill="C0C0C0"/>
            <w:vAlign w:val="top"/>
          </w:tcPr>
          <w:p w14:paraId="64B2F90E">
            <w:pPr>
              <w:pStyle w:val="8"/>
              <w:spacing w:before="85" w:line="184" w:lineRule="auto"/>
              <w:ind w:left="225"/>
              <w:rPr>
                <w:color w:val="auto"/>
              </w:rPr>
            </w:pPr>
            <w:r>
              <w:rPr>
                <w:color w:val="auto"/>
                <w:spacing w:val="-6"/>
              </w:rPr>
              <w:t>22</w:t>
            </w:r>
          </w:p>
        </w:tc>
        <w:tc>
          <w:tcPr>
            <w:tcW w:w="1095" w:type="dxa"/>
            <w:vAlign w:val="center"/>
          </w:tcPr>
          <w:p w14:paraId="2B5C6E30">
            <w:pPr>
              <w:jc w:val="right"/>
              <w:rPr>
                <w:rFonts w:ascii="Arial"/>
                <w:color w:val="auto"/>
                <w:sz w:val="21"/>
              </w:rPr>
            </w:pPr>
          </w:p>
        </w:tc>
        <w:tc>
          <w:tcPr>
            <w:tcW w:w="3514" w:type="dxa"/>
            <w:shd w:val="clear" w:color="auto" w:fill="C0C0C0"/>
            <w:vAlign w:val="top"/>
          </w:tcPr>
          <w:p w14:paraId="27AAF4C4">
            <w:pPr>
              <w:pStyle w:val="8"/>
              <w:spacing w:before="50" w:line="215" w:lineRule="auto"/>
              <w:ind w:left="116"/>
              <w:rPr>
                <w:color w:val="auto"/>
              </w:rPr>
            </w:pPr>
            <w:r>
              <w:rPr>
                <w:color w:val="auto"/>
                <w:spacing w:val="-1"/>
              </w:rPr>
              <w:t>二十二、灾害防治及应急管理支出</w:t>
            </w:r>
          </w:p>
        </w:tc>
        <w:tc>
          <w:tcPr>
            <w:tcW w:w="656" w:type="dxa"/>
            <w:shd w:val="clear" w:color="auto" w:fill="C0C0C0"/>
            <w:vAlign w:val="top"/>
          </w:tcPr>
          <w:p w14:paraId="2A8FDE3F">
            <w:pPr>
              <w:pStyle w:val="8"/>
              <w:spacing w:before="85" w:line="184" w:lineRule="auto"/>
              <w:ind w:left="230"/>
              <w:rPr>
                <w:color w:val="auto"/>
              </w:rPr>
            </w:pPr>
            <w:r>
              <w:rPr>
                <w:color w:val="auto"/>
                <w:spacing w:val="-7"/>
              </w:rPr>
              <w:t>53</w:t>
            </w:r>
          </w:p>
        </w:tc>
        <w:tc>
          <w:tcPr>
            <w:tcW w:w="1291" w:type="dxa"/>
            <w:vAlign w:val="center"/>
          </w:tcPr>
          <w:p w14:paraId="51AD092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20.00</w:t>
            </w:r>
          </w:p>
        </w:tc>
      </w:tr>
      <w:tr w14:paraId="0111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4B7EFD10">
            <w:pPr>
              <w:rPr>
                <w:rFonts w:ascii="Arial"/>
                <w:color w:val="auto"/>
                <w:sz w:val="21"/>
              </w:rPr>
            </w:pPr>
          </w:p>
        </w:tc>
        <w:tc>
          <w:tcPr>
            <w:tcW w:w="656" w:type="dxa"/>
            <w:shd w:val="clear" w:color="auto" w:fill="C0C0C0"/>
            <w:vAlign w:val="top"/>
          </w:tcPr>
          <w:p w14:paraId="4276FE07">
            <w:pPr>
              <w:pStyle w:val="8"/>
              <w:spacing w:before="85" w:line="184" w:lineRule="auto"/>
              <w:ind w:left="225"/>
              <w:rPr>
                <w:color w:val="auto"/>
              </w:rPr>
            </w:pPr>
            <w:r>
              <w:rPr>
                <w:color w:val="auto"/>
                <w:spacing w:val="-6"/>
              </w:rPr>
              <w:t>23</w:t>
            </w:r>
          </w:p>
        </w:tc>
        <w:tc>
          <w:tcPr>
            <w:tcW w:w="1095" w:type="dxa"/>
            <w:vAlign w:val="center"/>
          </w:tcPr>
          <w:p w14:paraId="7A2513FC">
            <w:pPr>
              <w:jc w:val="right"/>
              <w:rPr>
                <w:rFonts w:ascii="Arial"/>
                <w:color w:val="auto"/>
                <w:sz w:val="21"/>
              </w:rPr>
            </w:pPr>
          </w:p>
        </w:tc>
        <w:tc>
          <w:tcPr>
            <w:tcW w:w="3514" w:type="dxa"/>
            <w:shd w:val="clear" w:color="auto" w:fill="C0C0C0"/>
            <w:vAlign w:val="top"/>
          </w:tcPr>
          <w:p w14:paraId="1DFB2741">
            <w:pPr>
              <w:pStyle w:val="8"/>
              <w:spacing w:before="50" w:line="215" w:lineRule="auto"/>
              <w:ind w:left="116"/>
              <w:rPr>
                <w:color w:val="auto"/>
              </w:rPr>
            </w:pPr>
            <w:r>
              <w:rPr>
                <w:color w:val="auto"/>
                <w:spacing w:val="-2"/>
              </w:rPr>
              <w:t>二十三、其他支出</w:t>
            </w:r>
          </w:p>
        </w:tc>
        <w:tc>
          <w:tcPr>
            <w:tcW w:w="656" w:type="dxa"/>
            <w:shd w:val="clear" w:color="auto" w:fill="C0C0C0"/>
            <w:vAlign w:val="top"/>
          </w:tcPr>
          <w:p w14:paraId="4FE8FC93">
            <w:pPr>
              <w:pStyle w:val="8"/>
              <w:spacing w:before="85" w:line="184" w:lineRule="auto"/>
              <w:ind w:left="230"/>
              <w:rPr>
                <w:color w:val="auto"/>
              </w:rPr>
            </w:pPr>
            <w:r>
              <w:rPr>
                <w:color w:val="auto"/>
                <w:spacing w:val="-7"/>
              </w:rPr>
              <w:t>54</w:t>
            </w:r>
          </w:p>
        </w:tc>
        <w:tc>
          <w:tcPr>
            <w:tcW w:w="1291" w:type="dxa"/>
            <w:vAlign w:val="center"/>
          </w:tcPr>
          <w:p w14:paraId="41DE6C2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C637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736508F1">
            <w:pPr>
              <w:rPr>
                <w:rFonts w:ascii="Arial"/>
                <w:color w:val="auto"/>
                <w:sz w:val="21"/>
              </w:rPr>
            </w:pPr>
          </w:p>
        </w:tc>
        <w:tc>
          <w:tcPr>
            <w:tcW w:w="656" w:type="dxa"/>
            <w:shd w:val="clear" w:color="auto" w:fill="C0C0C0"/>
            <w:vAlign w:val="top"/>
          </w:tcPr>
          <w:p w14:paraId="448162EA">
            <w:pPr>
              <w:pStyle w:val="8"/>
              <w:spacing w:before="93" w:line="189" w:lineRule="auto"/>
              <w:ind w:left="233"/>
              <w:rPr>
                <w:color w:val="auto"/>
                <w:sz w:val="19"/>
                <w:szCs w:val="19"/>
              </w:rPr>
            </w:pPr>
            <w:r>
              <w:rPr>
                <w:color w:val="auto"/>
                <w:sz w:val="19"/>
                <w:szCs w:val="19"/>
              </w:rPr>
              <w:t>24</w:t>
            </w:r>
          </w:p>
        </w:tc>
        <w:tc>
          <w:tcPr>
            <w:tcW w:w="1095" w:type="dxa"/>
            <w:vAlign w:val="center"/>
          </w:tcPr>
          <w:p w14:paraId="034F3B95">
            <w:pPr>
              <w:jc w:val="right"/>
              <w:rPr>
                <w:rFonts w:ascii="Arial"/>
                <w:color w:val="auto"/>
                <w:sz w:val="21"/>
              </w:rPr>
            </w:pPr>
          </w:p>
        </w:tc>
        <w:tc>
          <w:tcPr>
            <w:tcW w:w="3514" w:type="dxa"/>
            <w:shd w:val="clear" w:color="auto" w:fill="C0C0C0"/>
            <w:vAlign w:val="top"/>
          </w:tcPr>
          <w:p w14:paraId="60FD9B79">
            <w:pPr>
              <w:pStyle w:val="8"/>
              <w:spacing w:before="50" w:line="215" w:lineRule="auto"/>
              <w:ind w:left="116"/>
              <w:rPr>
                <w:color w:val="auto"/>
              </w:rPr>
            </w:pPr>
            <w:r>
              <w:rPr>
                <w:color w:val="auto"/>
                <w:spacing w:val="-2"/>
              </w:rPr>
              <w:t>二十四、债务还本支出</w:t>
            </w:r>
          </w:p>
        </w:tc>
        <w:tc>
          <w:tcPr>
            <w:tcW w:w="656" w:type="dxa"/>
            <w:shd w:val="clear" w:color="auto" w:fill="C0C0C0"/>
            <w:vAlign w:val="top"/>
          </w:tcPr>
          <w:p w14:paraId="196BC503">
            <w:pPr>
              <w:pStyle w:val="8"/>
              <w:spacing w:before="87" w:line="182" w:lineRule="auto"/>
              <w:ind w:left="230"/>
              <w:rPr>
                <w:color w:val="auto"/>
              </w:rPr>
            </w:pPr>
            <w:r>
              <w:rPr>
                <w:color w:val="auto"/>
                <w:spacing w:val="-7"/>
              </w:rPr>
              <w:t>55</w:t>
            </w:r>
          </w:p>
        </w:tc>
        <w:tc>
          <w:tcPr>
            <w:tcW w:w="1291" w:type="dxa"/>
            <w:vAlign w:val="center"/>
          </w:tcPr>
          <w:p w14:paraId="11A2E65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B1E4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05B44AA8">
            <w:pPr>
              <w:rPr>
                <w:rFonts w:ascii="Arial"/>
                <w:color w:val="auto"/>
                <w:sz w:val="21"/>
              </w:rPr>
            </w:pPr>
          </w:p>
        </w:tc>
        <w:tc>
          <w:tcPr>
            <w:tcW w:w="656" w:type="dxa"/>
            <w:shd w:val="clear" w:color="auto" w:fill="C0C0C0"/>
            <w:vAlign w:val="top"/>
          </w:tcPr>
          <w:p w14:paraId="74C9B2F8">
            <w:pPr>
              <w:pStyle w:val="8"/>
              <w:spacing w:before="95" w:line="189" w:lineRule="auto"/>
              <w:ind w:left="233"/>
              <w:rPr>
                <w:color w:val="auto"/>
                <w:sz w:val="19"/>
                <w:szCs w:val="19"/>
              </w:rPr>
            </w:pPr>
            <w:r>
              <w:rPr>
                <w:color w:val="auto"/>
                <w:sz w:val="19"/>
                <w:szCs w:val="19"/>
              </w:rPr>
              <w:t>25</w:t>
            </w:r>
          </w:p>
        </w:tc>
        <w:tc>
          <w:tcPr>
            <w:tcW w:w="1095" w:type="dxa"/>
            <w:vAlign w:val="center"/>
          </w:tcPr>
          <w:p w14:paraId="1C0417DB">
            <w:pPr>
              <w:jc w:val="right"/>
              <w:rPr>
                <w:rFonts w:ascii="Arial"/>
                <w:color w:val="auto"/>
                <w:sz w:val="21"/>
              </w:rPr>
            </w:pPr>
          </w:p>
        </w:tc>
        <w:tc>
          <w:tcPr>
            <w:tcW w:w="3514" w:type="dxa"/>
            <w:shd w:val="clear" w:color="auto" w:fill="C0C0C0"/>
            <w:vAlign w:val="top"/>
          </w:tcPr>
          <w:p w14:paraId="41FBE1E7">
            <w:pPr>
              <w:pStyle w:val="8"/>
              <w:spacing w:before="49" w:line="216" w:lineRule="auto"/>
              <w:ind w:left="116"/>
              <w:rPr>
                <w:color w:val="auto"/>
              </w:rPr>
            </w:pPr>
            <w:r>
              <w:rPr>
                <w:color w:val="auto"/>
                <w:spacing w:val="-2"/>
              </w:rPr>
              <w:t>二十五、债务付息支出</w:t>
            </w:r>
          </w:p>
        </w:tc>
        <w:tc>
          <w:tcPr>
            <w:tcW w:w="656" w:type="dxa"/>
            <w:shd w:val="clear" w:color="auto" w:fill="C0C0C0"/>
            <w:vAlign w:val="top"/>
          </w:tcPr>
          <w:p w14:paraId="1609D866">
            <w:pPr>
              <w:pStyle w:val="8"/>
              <w:spacing w:before="84" w:line="184" w:lineRule="auto"/>
              <w:ind w:left="230"/>
              <w:rPr>
                <w:color w:val="auto"/>
              </w:rPr>
            </w:pPr>
            <w:r>
              <w:rPr>
                <w:color w:val="auto"/>
                <w:spacing w:val="-7"/>
              </w:rPr>
              <w:t>56</w:t>
            </w:r>
          </w:p>
        </w:tc>
        <w:tc>
          <w:tcPr>
            <w:tcW w:w="1291" w:type="dxa"/>
            <w:vAlign w:val="center"/>
          </w:tcPr>
          <w:p w14:paraId="51E4A39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5498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7AE0572B">
            <w:pPr>
              <w:rPr>
                <w:rFonts w:ascii="Arial"/>
                <w:color w:val="auto"/>
                <w:sz w:val="21"/>
              </w:rPr>
            </w:pPr>
          </w:p>
        </w:tc>
        <w:tc>
          <w:tcPr>
            <w:tcW w:w="656" w:type="dxa"/>
            <w:shd w:val="clear" w:color="auto" w:fill="C0C0C0"/>
            <w:vAlign w:val="top"/>
          </w:tcPr>
          <w:p w14:paraId="21321A2A">
            <w:pPr>
              <w:pStyle w:val="8"/>
              <w:spacing w:before="95" w:line="189" w:lineRule="auto"/>
              <w:ind w:left="233"/>
              <w:rPr>
                <w:color w:val="auto"/>
                <w:sz w:val="19"/>
                <w:szCs w:val="19"/>
              </w:rPr>
            </w:pPr>
            <w:r>
              <w:rPr>
                <w:color w:val="auto"/>
                <w:sz w:val="19"/>
                <w:szCs w:val="19"/>
              </w:rPr>
              <w:t>26</w:t>
            </w:r>
          </w:p>
        </w:tc>
        <w:tc>
          <w:tcPr>
            <w:tcW w:w="1095" w:type="dxa"/>
            <w:vAlign w:val="center"/>
          </w:tcPr>
          <w:p w14:paraId="47853E88">
            <w:pPr>
              <w:jc w:val="right"/>
              <w:rPr>
                <w:rFonts w:ascii="Arial"/>
                <w:color w:val="auto"/>
                <w:sz w:val="21"/>
              </w:rPr>
            </w:pPr>
          </w:p>
        </w:tc>
        <w:tc>
          <w:tcPr>
            <w:tcW w:w="3514" w:type="dxa"/>
            <w:shd w:val="clear" w:color="auto" w:fill="C0C0C0"/>
            <w:vAlign w:val="top"/>
          </w:tcPr>
          <w:p w14:paraId="46425C67">
            <w:pPr>
              <w:pStyle w:val="8"/>
              <w:spacing w:before="51" w:line="214" w:lineRule="auto"/>
              <w:ind w:left="116"/>
              <w:rPr>
                <w:color w:val="auto"/>
              </w:rPr>
            </w:pPr>
            <w:r>
              <w:rPr>
                <w:color w:val="auto"/>
                <w:spacing w:val="-1"/>
              </w:rPr>
              <w:t>二十六、抗疫特别国债安排的支出</w:t>
            </w:r>
          </w:p>
        </w:tc>
        <w:tc>
          <w:tcPr>
            <w:tcW w:w="656" w:type="dxa"/>
            <w:shd w:val="clear" w:color="auto" w:fill="C0C0C0"/>
            <w:vAlign w:val="top"/>
          </w:tcPr>
          <w:p w14:paraId="54357B87">
            <w:pPr>
              <w:pStyle w:val="8"/>
              <w:spacing w:before="88" w:line="182" w:lineRule="auto"/>
              <w:ind w:left="230"/>
              <w:rPr>
                <w:color w:val="auto"/>
              </w:rPr>
            </w:pPr>
            <w:r>
              <w:rPr>
                <w:color w:val="auto"/>
                <w:spacing w:val="-7"/>
              </w:rPr>
              <w:t>57</w:t>
            </w:r>
          </w:p>
        </w:tc>
        <w:tc>
          <w:tcPr>
            <w:tcW w:w="1291" w:type="dxa"/>
            <w:vAlign w:val="center"/>
          </w:tcPr>
          <w:p w14:paraId="34364FF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7F2E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53D67667">
            <w:pPr>
              <w:pStyle w:val="8"/>
              <w:spacing w:before="51" w:line="214" w:lineRule="auto"/>
              <w:ind w:left="1253"/>
              <w:rPr>
                <w:color w:val="auto"/>
              </w:rPr>
            </w:pPr>
            <w:r>
              <w:rPr>
                <w:b/>
                <w:bCs/>
                <w:color w:val="auto"/>
                <w:spacing w:val="-4"/>
              </w:rPr>
              <w:t>本年收入合计</w:t>
            </w:r>
          </w:p>
        </w:tc>
        <w:tc>
          <w:tcPr>
            <w:tcW w:w="656" w:type="dxa"/>
            <w:shd w:val="clear" w:color="auto" w:fill="C0C0C0"/>
            <w:vAlign w:val="top"/>
          </w:tcPr>
          <w:p w14:paraId="761592F9">
            <w:pPr>
              <w:pStyle w:val="8"/>
              <w:spacing w:before="86" w:line="184" w:lineRule="auto"/>
              <w:ind w:left="225"/>
              <w:rPr>
                <w:color w:val="auto"/>
              </w:rPr>
            </w:pPr>
            <w:r>
              <w:rPr>
                <w:color w:val="auto"/>
                <w:spacing w:val="-6"/>
              </w:rPr>
              <w:t>27</w:t>
            </w:r>
          </w:p>
        </w:tc>
        <w:tc>
          <w:tcPr>
            <w:tcW w:w="1095" w:type="dxa"/>
            <w:vAlign w:val="center"/>
          </w:tcPr>
          <w:p w14:paraId="60C77B6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2,093.08</w:t>
            </w:r>
          </w:p>
        </w:tc>
        <w:tc>
          <w:tcPr>
            <w:tcW w:w="3514" w:type="dxa"/>
            <w:shd w:val="clear" w:color="auto" w:fill="C0C0C0"/>
            <w:vAlign w:val="top"/>
          </w:tcPr>
          <w:p w14:paraId="22BF88F8">
            <w:pPr>
              <w:pStyle w:val="8"/>
              <w:spacing w:before="51" w:line="214" w:lineRule="auto"/>
              <w:ind w:left="1103"/>
              <w:rPr>
                <w:color w:val="auto"/>
              </w:rPr>
            </w:pPr>
            <w:r>
              <w:rPr>
                <w:b/>
                <w:bCs/>
                <w:color w:val="auto"/>
                <w:spacing w:val="-4"/>
              </w:rPr>
              <w:t>本年支出合计</w:t>
            </w:r>
          </w:p>
        </w:tc>
        <w:tc>
          <w:tcPr>
            <w:tcW w:w="656" w:type="dxa"/>
            <w:shd w:val="clear" w:color="auto" w:fill="C0C0C0"/>
            <w:vAlign w:val="top"/>
          </w:tcPr>
          <w:p w14:paraId="3C51DD0B">
            <w:pPr>
              <w:pStyle w:val="8"/>
              <w:spacing w:before="86" w:line="184" w:lineRule="auto"/>
              <w:ind w:left="230"/>
              <w:rPr>
                <w:color w:val="auto"/>
              </w:rPr>
            </w:pPr>
            <w:r>
              <w:rPr>
                <w:color w:val="auto"/>
                <w:spacing w:val="-7"/>
              </w:rPr>
              <w:t>58</w:t>
            </w:r>
          </w:p>
        </w:tc>
        <w:tc>
          <w:tcPr>
            <w:tcW w:w="1291" w:type="dxa"/>
            <w:vAlign w:val="center"/>
          </w:tcPr>
          <w:p w14:paraId="34B0032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2,093.08</w:t>
            </w:r>
          </w:p>
        </w:tc>
      </w:tr>
      <w:tr w14:paraId="5FF9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31F5D4C6">
            <w:pPr>
              <w:pStyle w:val="8"/>
              <w:spacing w:before="50" w:line="215" w:lineRule="auto"/>
              <w:ind w:left="116"/>
              <w:rPr>
                <w:color w:val="auto"/>
              </w:rPr>
            </w:pPr>
            <w:r>
              <w:rPr>
                <w:color w:val="auto"/>
                <w:spacing w:val="-1"/>
              </w:rPr>
              <w:t>使用非财政拨款结余</w:t>
            </w:r>
          </w:p>
        </w:tc>
        <w:tc>
          <w:tcPr>
            <w:tcW w:w="656" w:type="dxa"/>
            <w:shd w:val="clear" w:color="auto" w:fill="C0C0C0"/>
            <w:vAlign w:val="top"/>
          </w:tcPr>
          <w:p w14:paraId="0252BED9">
            <w:pPr>
              <w:pStyle w:val="8"/>
              <w:spacing w:before="85" w:line="184" w:lineRule="auto"/>
              <w:ind w:left="225"/>
              <w:rPr>
                <w:color w:val="auto"/>
              </w:rPr>
            </w:pPr>
            <w:r>
              <w:rPr>
                <w:color w:val="auto"/>
                <w:spacing w:val="-6"/>
              </w:rPr>
              <w:t>28</w:t>
            </w:r>
          </w:p>
        </w:tc>
        <w:tc>
          <w:tcPr>
            <w:tcW w:w="1095" w:type="dxa"/>
            <w:vAlign w:val="center"/>
          </w:tcPr>
          <w:p w14:paraId="7BF38FC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0A6F7BEB">
            <w:pPr>
              <w:pStyle w:val="8"/>
              <w:spacing w:before="50" w:line="215" w:lineRule="auto"/>
              <w:ind w:left="118"/>
              <w:rPr>
                <w:color w:val="auto"/>
              </w:rPr>
            </w:pPr>
            <w:r>
              <w:rPr>
                <w:color w:val="auto"/>
                <w:spacing w:val="-4"/>
              </w:rPr>
              <w:t>结余分配</w:t>
            </w:r>
          </w:p>
        </w:tc>
        <w:tc>
          <w:tcPr>
            <w:tcW w:w="656" w:type="dxa"/>
            <w:shd w:val="clear" w:color="auto" w:fill="C0C0C0"/>
            <w:vAlign w:val="top"/>
          </w:tcPr>
          <w:p w14:paraId="0B52C9A0">
            <w:pPr>
              <w:pStyle w:val="8"/>
              <w:spacing w:before="85" w:line="184" w:lineRule="auto"/>
              <w:ind w:left="230"/>
              <w:rPr>
                <w:color w:val="auto"/>
              </w:rPr>
            </w:pPr>
            <w:r>
              <w:rPr>
                <w:color w:val="auto"/>
                <w:spacing w:val="-7"/>
              </w:rPr>
              <w:t>59</w:t>
            </w:r>
          </w:p>
        </w:tc>
        <w:tc>
          <w:tcPr>
            <w:tcW w:w="1291" w:type="dxa"/>
            <w:vAlign w:val="center"/>
          </w:tcPr>
          <w:p w14:paraId="6DC4D9D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7F82D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3F916292">
            <w:pPr>
              <w:pStyle w:val="8"/>
              <w:spacing w:before="50" w:line="215" w:lineRule="auto"/>
              <w:ind w:left="116"/>
              <w:rPr>
                <w:color w:val="auto"/>
              </w:rPr>
            </w:pPr>
            <w:r>
              <w:rPr>
                <w:color w:val="auto"/>
                <w:spacing w:val="-2"/>
              </w:rPr>
              <w:t>年初结转和结余</w:t>
            </w:r>
          </w:p>
        </w:tc>
        <w:tc>
          <w:tcPr>
            <w:tcW w:w="656" w:type="dxa"/>
            <w:shd w:val="clear" w:color="auto" w:fill="C0C0C0"/>
            <w:vAlign w:val="top"/>
          </w:tcPr>
          <w:p w14:paraId="1BC12603">
            <w:pPr>
              <w:pStyle w:val="8"/>
              <w:spacing w:before="85" w:line="184" w:lineRule="auto"/>
              <w:ind w:left="225"/>
              <w:rPr>
                <w:color w:val="auto"/>
              </w:rPr>
            </w:pPr>
            <w:r>
              <w:rPr>
                <w:color w:val="auto"/>
                <w:spacing w:val="-6"/>
              </w:rPr>
              <w:t>29</w:t>
            </w:r>
          </w:p>
        </w:tc>
        <w:tc>
          <w:tcPr>
            <w:tcW w:w="1095" w:type="dxa"/>
            <w:vAlign w:val="center"/>
          </w:tcPr>
          <w:p w14:paraId="413F0C5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3514" w:type="dxa"/>
            <w:shd w:val="clear" w:color="auto" w:fill="C0C0C0"/>
            <w:vAlign w:val="top"/>
          </w:tcPr>
          <w:p w14:paraId="28BED534">
            <w:pPr>
              <w:pStyle w:val="8"/>
              <w:spacing w:before="50" w:line="215" w:lineRule="auto"/>
              <w:ind w:left="114"/>
              <w:rPr>
                <w:color w:val="auto"/>
              </w:rPr>
            </w:pPr>
            <w:r>
              <w:rPr>
                <w:color w:val="auto"/>
                <w:spacing w:val="-2"/>
              </w:rPr>
              <w:t>年末结转和结余</w:t>
            </w:r>
          </w:p>
        </w:tc>
        <w:tc>
          <w:tcPr>
            <w:tcW w:w="656" w:type="dxa"/>
            <w:shd w:val="clear" w:color="auto" w:fill="C0C0C0"/>
            <w:vAlign w:val="top"/>
          </w:tcPr>
          <w:p w14:paraId="0E046788">
            <w:pPr>
              <w:pStyle w:val="8"/>
              <w:spacing w:before="85" w:line="184" w:lineRule="auto"/>
              <w:ind w:left="227"/>
              <w:rPr>
                <w:color w:val="auto"/>
              </w:rPr>
            </w:pPr>
            <w:r>
              <w:rPr>
                <w:color w:val="auto"/>
                <w:spacing w:val="-5"/>
              </w:rPr>
              <w:t>60</w:t>
            </w:r>
          </w:p>
        </w:tc>
        <w:tc>
          <w:tcPr>
            <w:tcW w:w="1291" w:type="dxa"/>
            <w:vAlign w:val="center"/>
          </w:tcPr>
          <w:p w14:paraId="5DC09D7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63A7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19" w:type="dxa"/>
            <w:shd w:val="clear" w:color="auto" w:fill="C0C0C0"/>
            <w:vAlign w:val="top"/>
          </w:tcPr>
          <w:p w14:paraId="20BBB314">
            <w:pPr>
              <w:rPr>
                <w:rFonts w:ascii="Arial"/>
                <w:color w:val="auto"/>
                <w:sz w:val="21"/>
              </w:rPr>
            </w:pPr>
          </w:p>
        </w:tc>
        <w:tc>
          <w:tcPr>
            <w:tcW w:w="656" w:type="dxa"/>
            <w:shd w:val="clear" w:color="auto" w:fill="C0C0C0"/>
            <w:vAlign w:val="top"/>
          </w:tcPr>
          <w:p w14:paraId="0C6D1AD1">
            <w:pPr>
              <w:pStyle w:val="8"/>
              <w:spacing w:before="84" w:line="184" w:lineRule="auto"/>
              <w:ind w:left="227"/>
              <w:rPr>
                <w:color w:val="auto"/>
              </w:rPr>
            </w:pPr>
            <w:r>
              <w:rPr>
                <w:color w:val="auto"/>
                <w:spacing w:val="-7"/>
              </w:rPr>
              <w:t>30</w:t>
            </w:r>
          </w:p>
        </w:tc>
        <w:tc>
          <w:tcPr>
            <w:tcW w:w="1095" w:type="dxa"/>
            <w:vAlign w:val="center"/>
          </w:tcPr>
          <w:p w14:paraId="6F332A35">
            <w:pPr>
              <w:jc w:val="right"/>
              <w:rPr>
                <w:rFonts w:ascii="Arial"/>
                <w:color w:val="auto"/>
                <w:sz w:val="21"/>
              </w:rPr>
            </w:pPr>
          </w:p>
        </w:tc>
        <w:tc>
          <w:tcPr>
            <w:tcW w:w="3514" w:type="dxa"/>
            <w:shd w:val="clear" w:color="auto" w:fill="C0C0C0"/>
            <w:vAlign w:val="top"/>
          </w:tcPr>
          <w:p w14:paraId="4BE26E5A">
            <w:pPr>
              <w:rPr>
                <w:rFonts w:ascii="Arial"/>
                <w:color w:val="auto"/>
                <w:sz w:val="21"/>
              </w:rPr>
            </w:pPr>
          </w:p>
        </w:tc>
        <w:tc>
          <w:tcPr>
            <w:tcW w:w="656" w:type="dxa"/>
            <w:shd w:val="clear" w:color="auto" w:fill="C0C0C0"/>
            <w:vAlign w:val="top"/>
          </w:tcPr>
          <w:p w14:paraId="3DE6EE34">
            <w:pPr>
              <w:pStyle w:val="8"/>
              <w:spacing w:before="84" w:line="184" w:lineRule="auto"/>
              <w:ind w:left="227"/>
              <w:rPr>
                <w:color w:val="auto"/>
              </w:rPr>
            </w:pPr>
            <w:r>
              <w:rPr>
                <w:color w:val="auto"/>
                <w:spacing w:val="-5"/>
              </w:rPr>
              <w:t>61</w:t>
            </w:r>
          </w:p>
        </w:tc>
        <w:tc>
          <w:tcPr>
            <w:tcW w:w="1291" w:type="dxa"/>
            <w:vAlign w:val="center"/>
          </w:tcPr>
          <w:p w14:paraId="0430C629">
            <w:pPr>
              <w:jc w:val="left"/>
              <w:rPr>
                <w:rFonts w:ascii="Arial"/>
                <w:color w:val="auto"/>
                <w:sz w:val="21"/>
              </w:rPr>
            </w:pPr>
          </w:p>
        </w:tc>
      </w:tr>
      <w:tr w14:paraId="3B35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819" w:type="dxa"/>
            <w:shd w:val="clear" w:color="auto" w:fill="C0C0C0"/>
            <w:vAlign w:val="top"/>
          </w:tcPr>
          <w:p w14:paraId="5F857DD2">
            <w:pPr>
              <w:pStyle w:val="8"/>
              <w:spacing w:before="50" w:line="219" w:lineRule="auto"/>
              <w:ind w:left="1700"/>
              <w:rPr>
                <w:color w:val="auto"/>
              </w:rPr>
            </w:pPr>
            <w:r>
              <w:rPr>
                <w:b/>
                <w:bCs/>
                <w:color w:val="auto"/>
                <w:spacing w:val="-9"/>
              </w:rPr>
              <w:t>总计</w:t>
            </w:r>
          </w:p>
        </w:tc>
        <w:tc>
          <w:tcPr>
            <w:tcW w:w="656" w:type="dxa"/>
            <w:shd w:val="clear" w:color="auto" w:fill="C0C0C0"/>
            <w:vAlign w:val="top"/>
          </w:tcPr>
          <w:p w14:paraId="18EC40F1">
            <w:pPr>
              <w:pStyle w:val="8"/>
              <w:spacing w:before="84" w:line="184" w:lineRule="auto"/>
              <w:ind w:left="227"/>
              <w:rPr>
                <w:color w:val="auto"/>
              </w:rPr>
            </w:pPr>
            <w:r>
              <w:rPr>
                <w:color w:val="auto"/>
                <w:spacing w:val="-7"/>
              </w:rPr>
              <w:t>31</w:t>
            </w:r>
          </w:p>
        </w:tc>
        <w:tc>
          <w:tcPr>
            <w:tcW w:w="1095" w:type="dxa"/>
            <w:vAlign w:val="center"/>
          </w:tcPr>
          <w:p w14:paraId="240F536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2,093.08</w:t>
            </w:r>
          </w:p>
        </w:tc>
        <w:tc>
          <w:tcPr>
            <w:tcW w:w="3514" w:type="dxa"/>
            <w:shd w:val="clear" w:color="auto" w:fill="C0C0C0"/>
            <w:vAlign w:val="top"/>
          </w:tcPr>
          <w:p w14:paraId="02CFA163">
            <w:pPr>
              <w:pStyle w:val="8"/>
              <w:spacing w:before="50" w:line="219" w:lineRule="auto"/>
              <w:ind w:left="1549"/>
              <w:rPr>
                <w:color w:val="auto"/>
              </w:rPr>
            </w:pPr>
            <w:r>
              <w:rPr>
                <w:b/>
                <w:bCs/>
                <w:color w:val="auto"/>
                <w:spacing w:val="-9"/>
              </w:rPr>
              <w:t>总计</w:t>
            </w:r>
          </w:p>
        </w:tc>
        <w:tc>
          <w:tcPr>
            <w:tcW w:w="656" w:type="dxa"/>
            <w:shd w:val="clear" w:color="auto" w:fill="C0C0C0"/>
            <w:vAlign w:val="top"/>
          </w:tcPr>
          <w:p w14:paraId="73DB6652">
            <w:pPr>
              <w:pStyle w:val="8"/>
              <w:spacing w:before="84" w:line="184" w:lineRule="auto"/>
              <w:ind w:left="227"/>
              <w:rPr>
                <w:color w:val="auto"/>
              </w:rPr>
            </w:pPr>
            <w:r>
              <w:rPr>
                <w:color w:val="auto"/>
                <w:spacing w:val="-5"/>
              </w:rPr>
              <w:t>62</w:t>
            </w:r>
          </w:p>
        </w:tc>
        <w:tc>
          <w:tcPr>
            <w:tcW w:w="1291" w:type="dxa"/>
            <w:vAlign w:val="center"/>
          </w:tcPr>
          <w:p w14:paraId="4280BC2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2,093.08</w:t>
            </w:r>
          </w:p>
        </w:tc>
      </w:tr>
    </w:tbl>
    <w:p w14:paraId="075D8FFD">
      <w:pPr>
        <w:spacing w:before="47" w:line="248" w:lineRule="auto"/>
        <w:ind w:left="564" w:right="5235" w:hanging="444"/>
        <w:rPr>
          <w:rFonts w:ascii="宋体" w:hAnsi="宋体" w:eastAsia="宋体" w:cs="宋体"/>
          <w:color w:val="auto"/>
          <w:spacing w:val="13"/>
          <w:sz w:val="22"/>
          <w:szCs w:val="22"/>
        </w:rPr>
      </w:pPr>
      <w:r>
        <w:rPr>
          <w:rFonts w:ascii="宋体" w:hAnsi="宋体" w:eastAsia="宋体" w:cs="宋体"/>
          <w:color w:val="auto"/>
          <w:spacing w:val="-2"/>
          <w:sz w:val="22"/>
          <w:szCs w:val="22"/>
        </w:rPr>
        <w:t>注：1.本表反映部门本年度的总收支和年末结转结余情况。</w:t>
      </w:r>
      <w:r>
        <w:rPr>
          <w:rFonts w:ascii="宋体" w:hAnsi="宋体" w:eastAsia="宋体" w:cs="宋体"/>
          <w:color w:val="auto"/>
          <w:spacing w:val="13"/>
          <w:sz w:val="22"/>
          <w:szCs w:val="22"/>
        </w:rPr>
        <w:t xml:space="preserve"> </w:t>
      </w:r>
    </w:p>
    <w:p w14:paraId="72BAED36">
      <w:pPr>
        <w:spacing w:before="47" w:line="248" w:lineRule="auto"/>
        <w:ind w:left="554" w:leftChars="253" w:right="5235" w:hanging="23" w:hangingChars="11"/>
        <w:rPr>
          <w:rFonts w:ascii="宋体" w:hAnsi="宋体" w:eastAsia="宋体" w:cs="宋体"/>
          <w:color w:val="auto"/>
          <w:sz w:val="22"/>
          <w:szCs w:val="22"/>
        </w:rPr>
      </w:pPr>
      <w:r>
        <w:rPr>
          <w:rFonts w:ascii="宋体" w:hAnsi="宋体" w:eastAsia="宋体" w:cs="宋体"/>
          <w:color w:val="auto"/>
          <w:spacing w:val="-1"/>
          <w:sz w:val="22"/>
          <w:szCs w:val="22"/>
        </w:rPr>
        <w:t>2.本套报表金额单位转换时可能存在尾数误差。</w:t>
      </w:r>
    </w:p>
    <w:p w14:paraId="00FA3E1E">
      <w:pPr>
        <w:spacing w:line="338" w:lineRule="auto"/>
        <w:rPr>
          <w:rFonts w:ascii="Arial"/>
          <w:color w:val="auto"/>
          <w:sz w:val="21"/>
        </w:rPr>
      </w:pPr>
    </w:p>
    <w:p w14:paraId="53FF6978">
      <w:pPr>
        <w:spacing w:line="338" w:lineRule="auto"/>
        <w:rPr>
          <w:rFonts w:ascii="Arial"/>
          <w:color w:val="auto"/>
          <w:sz w:val="21"/>
        </w:rPr>
      </w:pPr>
    </w:p>
    <w:p w14:paraId="0AF7626B">
      <w:pPr>
        <w:spacing w:line="338" w:lineRule="auto"/>
        <w:rPr>
          <w:rFonts w:ascii="Arial"/>
          <w:color w:val="auto"/>
          <w:sz w:val="21"/>
        </w:rPr>
      </w:pPr>
    </w:p>
    <w:p w14:paraId="08264D5E">
      <w:pPr>
        <w:pStyle w:val="2"/>
        <w:numPr>
          <w:ilvl w:val="0"/>
          <w:numId w:val="1"/>
        </w:numPr>
        <w:spacing w:before="101" w:line="227" w:lineRule="auto"/>
        <w:ind w:left="834"/>
        <w:rPr>
          <w:rFonts w:ascii="Arial"/>
          <w:color w:val="auto"/>
          <w:sz w:val="21"/>
        </w:rPr>
      </w:pPr>
      <w:r>
        <w:rPr>
          <w:color w:val="auto"/>
          <w:spacing w:val="7"/>
        </w:rPr>
        <w:t>收入决算</w:t>
      </w:r>
      <w:r>
        <w:rPr>
          <w:rFonts w:hint="eastAsia"/>
          <w:color w:val="auto"/>
          <w:spacing w:val="7"/>
          <w:lang w:eastAsia="zh-CN"/>
        </w:rPr>
        <w:t>表</w:t>
      </w:r>
    </w:p>
    <w:p w14:paraId="36125F13">
      <w:pPr>
        <w:spacing w:before="98" w:line="219" w:lineRule="auto"/>
        <w:ind w:left="5066"/>
        <w:outlineLvl w:val="1"/>
        <w:rPr>
          <w:rFonts w:ascii="宋体" w:hAnsi="宋体" w:eastAsia="宋体" w:cs="宋体"/>
          <w:color w:val="auto"/>
          <w:sz w:val="30"/>
          <w:szCs w:val="30"/>
        </w:rPr>
      </w:pPr>
      <w:r>
        <w:rPr>
          <w:rFonts w:ascii="宋体" w:hAnsi="宋体" w:eastAsia="宋体" w:cs="宋体"/>
          <w:color w:val="auto"/>
          <w:spacing w:val="-5"/>
          <w:sz w:val="30"/>
          <w:szCs w:val="30"/>
        </w:rPr>
        <w:t>收入决算表</w:t>
      </w:r>
    </w:p>
    <w:p w14:paraId="54BBB648">
      <w:pPr>
        <w:spacing w:before="159" w:line="230" w:lineRule="auto"/>
        <w:ind w:left="10590"/>
        <w:rPr>
          <w:rFonts w:ascii="宋体" w:hAnsi="宋体" w:eastAsia="宋体" w:cs="宋体"/>
          <w:color w:val="auto"/>
          <w:sz w:val="19"/>
          <w:szCs w:val="19"/>
        </w:rPr>
      </w:pPr>
      <w:r>
        <w:rPr>
          <w:rFonts w:ascii="宋体" w:hAnsi="宋体" w:eastAsia="宋体" w:cs="宋体"/>
          <w:color w:val="auto"/>
          <w:spacing w:val="1"/>
          <w:sz w:val="19"/>
          <w:szCs w:val="19"/>
        </w:rPr>
        <w:t>公开</w:t>
      </w:r>
      <w:r>
        <w:rPr>
          <w:rFonts w:ascii="宋体" w:hAnsi="宋体" w:eastAsia="宋体" w:cs="宋体"/>
          <w:color w:val="auto"/>
          <w:spacing w:val="-32"/>
          <w:sz w:val="19"/>
          <w:szCs w:val="19"/>
        </w:rPr>
        <w:t xml:space="preserve"> </w:t>
      </w:r>
      <w:r>
        <w:rPr>
          <w:rFonts w:ascii="宋体" w:hAnsi="宋体" w:eastAsia="宋体" w:cs="宋体"/>
          <w:color w:val="auto"/>
          <w:spacing w:val="1"/>
          <w:sz w:val="19"/>
          <w:szCs w:val="19"/>
        </w:rPr>
        <w:t>02</w:t>
      </w:r>
      <w:r>
        <w:rPr>
          <w:rFonts w:ascii="宋体" w:hAnsi="宋体" w:eastAsia="宋体" w:cs="宋体"/>
          <w:color w:val="auto"/>
          <w:spacing w:val="-39"/>
          <w:sz w:val="19"/>
          <w:szCs w:val="19"/>
        </w:rPr>
        <w:t xml:space="preserve"> </w:t>
      </w:r>
      <w:r>
        <w:rPr>
          <w:rFonts w:ascii="宋体" w:hAnsi="宋体" w:eastAsia="宋体" w:cs="宋体"/>
          <w:color w:val="auto"/>
          <w:spacing w:val="1"/>
          <w:sz w:val="19"/>
          <w:szCs w:val="19"/>
        </w:rPr>
        <w:t>表</w:t>
      </w:r>
    </w:p>
    <w:p w14:paraId="6F3C723E">
      <w:pPr>
        <w:spacing w:before="76" w:line="227" w:lineRule="auto"/>
        <w:ind w:left="122"/>
        <w:rPr>
          <w:rFonts w:ascii="宋体" w:hAnsi="宋体" w:eastAsia="宋体" w:cs="宋体"/>
          <w:color w:val="auto"/>
          <w:sz w:val="19"/>
          <w:szCs w:val="19"/>
        </w:rPr>
      </w:pPr>
      <w:r>
        <w:rPr>
          <w:rFonts w:ascii="宋体" w:hAnsi="宋体" w:eastAsia="宋体" w:cs="宋体"/>
          <w:color w:val="auto"/>
          <w:spacing w:val="14"/>
          <w:sz w:val="19"/>
          <w:szCs w:val="19"/>
        </w:rPr>
        <w:t>部门：鄂州市自然资源和规划局</w:t>
      </w:r>
    </w:p>
    <w:p w14:paraId="4F8C2CB4">
      <w:pPr>
        <w:spacing w:before="78" w:line="228" w:lineRule="auto"/>
        <w:ind w:left="119"/>
        <w:rPr>
          <w:rFonts w:ascii="宋体" w:hAnsi="宋体" w:eastAsia="宋体" w:cs="宋体"/>
          <w:color w:val="auto"/>
          <w:sz w:val="19"/>
          <w:szCs w:val="19"/>
        </w:rPr>
      </w:pPr>
      <w:r>
        <w:rPr>
          <w:rFonts w:ascii="宋体" w:hAnsi="宋体" w:eastAsia="宋体" w:cs="宋体"/>
          <w:color w:val="auto"/>
          <w:spacing w:val="8"/>
          <w:sz w:val="19"/>
          <w:szCs w:val="19"/>
        </w:rPr>
        <w:t>鄂城分局</w:t>
      </w:r>
      <w:r>
        <w:rPr>
          <w:rFonts w:ascii="宋体" w:hAnsi="宋体" w:eastAsia="宋体" w:cs="宋体"/>
          <w:color w:val="auto"/>
          <w:spacing w:val="1"/>
          <w:sz w:val="19"/>
          <w:szCs w:val="19"/>
        </w:rPr>
        <w:t xml:space="preserve">                                                       </w:t>
      </w:r>
      <w:r>
        <w:rPr>
          <w:rFonts w:ascii="宋体" w:hAnsi="宋体" w:eastAsia="宋体" w:cs="宋体"/>
          <w:color w:val="auto"/>
          <w:sz w:val="19"/>
          <w:szCs w:val="19"/>
        </w:rPr>
        <w:t xml:space="preserve">                                         </w:t>
      </w:r>
      <w:r>
        <w:rPr>
          <w:rFonts w:ascii="宋体" w:hAnsi="宋体" w:eastAsia="宋体" w:cs="宋体"/>
          <w:color w:val="auto"/>
          <w:spacing w:val="8"/>
          <w:sz w:val="19"/>
          <w:szCs w:val="19"/>
        </w:rPr>
        <w:t>金额单位：万元</w:t>
      </w:r>
    </w:p>
    <w:p w14:paraId="56825DE9">
      <w:pPr>
        <w:spacing w:line="20" w:lineRule="exact"/>
        <w:rPr>
          <w:color w:val="auto"/>
        </w:rPr>
      </w:pPr>
    </w:p>
    <w:tbl>
      <w:tblPr>
        <w:tblStyle w:val="7"/>
        <w:tblW w:w="11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71"/>
        <w:gridCol w:w="2385"/>
        <w:gridCol w:w="1050"/>
        <w:gridCol w:w="1020"/>
        <w:gridCol w:w="843"/>
        <w:gridCol w:w="1282"/>
        <w:gridCol w:w="995"/>
        <w:gridCol w:w="1170"/>
        <w:gridCol w:w="1666"/>
      </w:tblGrid>
      <w:tr w14:paraId="7ABA3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558" w:type="dxa"/>
            <w:gridSpan w:val="3"/>
            <w:shd w:val="clear" w:color="auto" w:fill="C0C0C0"/>
            <w:vAlign w:val="top"/>
          </w:tcPr>
          <w:p w14:paraId="6C3BCE9B">
            <w:pPr>
              <w:pStyle w:val="8"/>
              <w:spacing w:before="52" w:line="218" w:lineRule="auto"/>
              <w:ind w:left="1340"/>
              <w:rPr>
                <w:color w:val="auto"/>
              </w:rPr>
            </w:pPr>
            <w:r>
              <w:rPr>
                <w:color w:val="auto"/>
                <w:spacing w:val="-6"/>
              </w:rPr>
              <w:t>项目</w:t>
            </w:r>
          </w:p>
        </w:tc>
        <w:tc>
          <w:tcPr>
            <w:tcW w:w="1050" w:type="dxa"/>
            <w:vMerge w:val="restart"/>
            <w:tcBorders>
              <w:bottom w:val="nil"/>
            </w:tcBorders>
            <w:shd w:val="clear" w:color="auto" w:fill="C0C0C0"/>
            <w:vAlign w:val="top"/>
          </w:tcPr>
          <w:p w14:paraId="4D05A08A">
            <w:pPr>
              <w:spacing w:line="290" w:lineRule="auto"/>
              <w:rPr>
                <w:rFonts w:ascii="Arial"/>
                <w:color w:val="auto"/>
                <w:sz w:val="21"/>
              </w:rPr>
            </w:pPr>
          </w:p>
          <w:p w14:paraId="61F4F5D6">
            <w:pPr>
              <w:spacing w:line="291" w:lineRule="auto"/>
              <w:rPr>
                <w:rFonts w:ascii="Arial"/>
                <w:color w:val="auto"/>
                <w:sz w:val="21"/>
              </w:rPr>
            </w:pPr>
          </w:p>
          <w:p w14:paraId="610F24FD">
            <w:pPr>
              <w:pStyle w:val="8"/>
              <w:spacing w:before="72" w:line="249" w:lineRule="auto"/>
              <w:ind w:left="354" w:right="125" w:hanging="220"/>
              <w:rPr>
                <w:color w:val="auto"/>
              </w:rPr>
            </w:pPr>
            <w:r>
              <w:rPr>
                <w:color w:val="auto"/>
                <w:spacing w:val="-3"/>
              </w:rPr>
              <w:t>本年收入</w:t>
            </w:r>
            <w:r>
              <w:rPr>
                <w:color w:val="auto"/>
                <w:spacing w:val="2"/>
              </w:rPr>
              <w:t xml:space="preserve"> </w:t>
            </w:r>
            <w:r>
              <w:rPr>
                <w:color w:val="auto"/>
                <w:spacing w:val="-4"/>
              </w:rPr>
              <w:t>合计</w:t>
            </w:r>
          </w:p>
        </w:tc>
        <w:tc>
          <w:tcPr>
            <w:tcW w:w="1020" w:type="dxa"/>
            <w:vMerge w:val="restart"/>
            <w:tcBorders>
              <w:bottom w:val="nil"/>
            </w:tcBorders>
            <w:shd w:val="clear" w:color="auto" w:fill="C0C0C0"/>
            <w:vAlign w:val="top"/>
          </w:tcPr>
          <w:p w14:paraId="5FD34676">
            <w:pPr>
              <w:spacing w:line="291" w:lineRule="auto"/>
              <w:rPr>
                <w:rFonts w:ascii="Arial"/>
                <w:color w:val="auto"/>
                <w:sz w:val="21"/>
              </w:rPr>
            </w:pPr>
          </w:p>
          <w:p w14:paraId="24AB93EB">
            <w:pPr>
              <w:spacing w:line="291" w:lineRule="auto"/>
              <w:rPr>
                <w:rFonts w:ascii="Arial"/>
                <w:color w:val="auto"/>
                <w:sz w:val="21"/>
              </w:rPr>
            </w:pPr>
          </w:p>
          <w:p w14:paraId="2BC4B157">
            <w:pPr>
              <w:pStyle w:val="8"/>
              <w:spacing w:before="72" w:line="248" w:lineRule="auto"/>
              <w:ind w:left="425" w:right="188" w:hanging="227"/>
              <w:rPr>
                <w:color w:val="auto"/>
              </w:rPr>
            </w:pPr>
            <w:r>
              <w:rPr>
                <w:color w:val="auto"/>
                <w:spacing w:val="-3"/>
              </w:rPr>
              <w:t>财政拨款</w:t>
            </w:r>
            <w:r>
              <w:rPr>
                <w:color w:val="auto"/>
                <w:spacing w:val="2"/>
              </w:rPr>
              <w:t xml:space="preserve"> </w:t>
            </w:r>
            <w:r>
              <w:rPr>
                <w:color w:val="auto"/>
                <w:spacing w:val="-8"/>
              </w:rPr>
              <w:t>收入</w:t>
            </w:r>
          </w:p>
        </w:tc>
        <w:tc>
          <w:tcPr>
            <w:tcW w:w="843" w:type="dxa"/>
            <w:vMerge w:val="restart"/>
            <w:tcBorders>
              <w:bottom w:val="nil"/>
            </w:tcBorders>
            <w:shd w:val="clear" w:color="auto" w:fill="C0C0C0"/>
            <w:vAlign w:val="top"/>
          </w:tcPr>
          <w:p w14:paraId="18CA77B4">
            <w:pPr>
              <w:spacing w:line="291" w:lineRule="auto"/>
              <w:rPr>
                <w:rFonts w:ascii="Arial"/>
                <w:color w:val="auto"/>
                <w:sz w:val="21"/>
              </w:rPr>
            </w:pPr>
          </w:p>
          <w:p w14:paraId="1DFC5FBF">
            <w:pPr>
              <w:spacing w:line="291" w:lineRule="auto"/>
              <w:rPr>
                <w:rFonts w:ascii="Arial"/>
                <w:color w:val="auto"/>
                <w:sz w:val="21"/>
              </w:rPr>
            </w:pPr>
          </w:p>
          <w:p w14:paraId="1F2286B8">
            <w:pPr>
              <w:pStyle w:val="8"/>
              <w:spacing w:before="72" w:line="248" w:lineRule="auto"/>
              <w:ind w:left="163" w:right="152" w:firstLine="1"/>
              <w:rPr>
                <w:color w:val="auto"/>
              </w:rPr>
            </w:pPr>
            <w:r>
              <w:rPr>
                <w:color w:val="auto"/>
                <w:spacing w:val="-4"/>
              </w:rPr>
              <w:t>上级补</w:t>
            </w:r>
            <w:r>
              <w:rPr>
                <w:color w:val="auto"/>
              </w:rPr>
              <w:t xml:space="preserve"> </w:t>
            </w:r>
            <w:r>
              <w:rPr>
                <w:color w:val="auto"/>
                <w:spacing w:val="-3"/>
              </w:rPr>
              <w:t>助收入</w:t>
            </w:r>
          </w:p>
        </w:tc>
        <w:tc>
          <w:tcPr>
            <w:tcW w:w="1282" w:type="dxa"/>
            <w:vMerge w:val="restart"/>
            <w:tcBorders>
              <w:bottom w:val="nil"/>
            </w:tcBorders>
            <w:shd w:val="clear" w:color="auto" w:fill="C0C0C0"/>
            <w:vAlign w:val="top"/>
          </w:tcPr>
          <w:p w14:paraId="5CE2DE49">
            <w:pPr>
              <w:spacing w:line="245" w:lineRule="auto"/>
              <w:rPr>
                <w:rFonts w:ascii="Arial"/>
                <w:color w:val="auto"/>
                <w:sz w:val="21"/>
              </w:rPr>
            </w:pPr>
          </w:p>
          <w:p w14:paraId="4346E971">
            <w:pPr>
              <w:spacing w:line="245" w:lineRule="auto"/>
              <w:rPr>
                <w:rFonts w:ascii="Arial"/>
                <w:color w:val="auto"/>
                <w:sz w:val="21"/>
              </w:rPr>
            </w:pPr>
          </w:p>
          <w:p w14:paraId="2305FBB5">
            <w:pPr>
              <w:spacing w:line="246" w:lineRule="auto"/>
              <w:rPr>
                <w:rFonts w:ascii="Arial"/>
                <w:color w:val="auto"/>
                <w:sz w:val="21"/>
              </w:rPr>
            </w:pPr>
          </w:p>
          <w:p w14:paraId="0A630126">
            <w:pPr>
              <w:pStyle w:val="8"/>
              <w:spacing w:before="72" w:line="220" w:lineRule="auto"/>
              <w:ind w:left="208"/>
              <w:rPr>
                <w:color w:val="auto"/>
              </w:rPr>
            </w:pPr>
            <w:r>
              <w:rPr>
                <w:color w:val="auto"/>
                <w:spacing w:val="-2"/>
              </w:rPr>
              <w:t>事业收入</w:t>
            </w:r>
          </w:p>
        </w:tc>
        <w:tc>
          <w:tcPr>
            <w:tcW w:w="995" w:type="dxa"/>
            <w:vMerge w:val="restart"/>
            <w:tcBorders>
              <w:bottom w:val="nil"/>
            </w:tcBorders>
            <w:shd w:val="clear" w:color="auto" w:fill="C0C0C0"/>
            <w:vAlign w:val="top"/>
          </w:tcPr>
          <w:p w14:paraId="6E539166">
            <w:pPr>
              <w:spacing w:line="291" w:lineRule="auto"/>
              <w:rPr>
                <w:rFonts w:ascii="Arial"/>
                <w:color w:val="auto"/>
                <w:sz w:val="21"/>
              </w:rPr>
            </w:pPr>
          </w:p>
          <w:p w14:paraId="1BB048BC">
            <w:pPr>
              <w:spacing w:line="291" w:lineRule="auto"/>
              <w:rPr>
                <w:rFonts w:ascii="Arial"/>
                <w:color w:val="auto"/>
                <w:sz w:val="21"/>
              </w:rPr>
            </w:pPr>
          </w:p>
          <w:p w14:paraId="793515E4">
            <w:pPr>
              <w:pStyle w:val="8"/>
              <w:spacing w:before="72" w:line="248" w:lineRule="auto"/>
              <w:ind w:left="179" w:right="158" w:hanging="5"/>
              <w:rPr>
                <w:color w:val="auto"/>
              </w:rPr>
            </w:pPr>
            <w:r>
              <w:rPr>
                <w:color w:val="auto"/>
                <w:spacing w:val="-5"/>
              </w:rPr>
              <w:t>经营</w:t>
            </w:r>
            <w:r>
              <w:rPr>
                <w:color w:val="auto"/>
              </w:rPr>
              <w:t xml:space="preserve"> </w:t>
            </w:r>
            <w:r>
              <w:rPr>
                <w:color w:val="auto"/>
                <w:spacing w:val="-8"/>
              </w:rPr>
              <w:t>收入</w:t>
            </w:r>
          </w:p>
        </w:tc>
        <w:tc>
          <w:tcPr>
            <w:tcW w:w="1170" w:type="dxa"/>
            <w:vMerge w:val="restart"/>
            <w:tcBorders>
              <w:bottom w:val="nil"/>
            </w:tcBorders>
            <w:shd w:val="clear" w:color="auto" w:fill="C0C0C0"/>
            <w:vAlign w:val="top"/>
          </w:tcPr>
          <w:p w14:paraId="2F917293">
            <w:pPr>
              <w:spacing w:line="427" w:lineRule="auto"/>
              <w:rPr>
                <w:rFonts w:ascii="Arial"/>
                <w:color w:val="auto"/>
                <w:sz w:val="21"/>
              </w:rPr>
            </w:pPr>
          </w:p>
          <w:p w14:paraId="12151A83">
            <w:pPr>
              <w:pStyle w:val="8"/>
              <w:spacing w:before="71" w:line="219" w:lineRule="auto"/>
              <w:ind w:left="181"/>
              <w:rPr>
                <w:color w:val="auto"/>
              </w:rPr>
            </w:pPr>
            <w:r>
              <w:rPr>
                <w:color w:val="auto"/>
                <w:spacing w:val="-9"/>
              </w:rPr>
              <w:t>附属单</w:t>
            </w:r>
          </w:p>
          <w:p w14:paraId="7830C15E">
            <w:pPr>
              <w:pStyle w:val="8"/>
              <w:spacing w:before="50" w:line="220" w:lineRule="auto"/>
              <w:ind w:left="164"/>
              <w:rPr>
                <w:color w:val="auto"/>
              </w:rPr>
            </w:pPr>
            <w:r>
              <w:rPr>
                <w:color w:val="auto"/>
                <w:spacing w:val="-3"/>
              </w:rPr>
              <w:t>位上缴</w:t>
            </w:r>
          </w:p>
          <w:p w14:paraId="64B67397">
            <w:pPr>
              <w:pStyle w:val="8"/>
              <w:spacing w:before="49" w:line="220" w:lineRule="auto"/>
              <w:ind w:left="282"/>
              <w:rPr>
                <w:color w:val="auto"/>
              </w:rPr>
            </w:pPr>
            <w:r>
              <w:rPr>
                <w:color w:val="auto"/>
                <w:spacing w:val="-8"/>
              </w:rPr>
              <w:t>收入</w:t>
            </w:r>
          </w:p>
        </w:tc>
        <w:tc>
          <w:tcPr>
            <w:tcW w:w="1666" w:type="dxa"/>
            <w:vMerge w:val="restart"/>
            <w:tcBorders>
              <w:bottom w:val="nil"/>
            </w:tcBorders>
            <w:shd w:val="clear" w:color="auto" w:fill="C0C0C0"/>
            <w:vAlign w:val="top"/>
          </w:tcPr>
          <w:p w14:paraId="22A4E470">
            <w:pPr>
              <w:spacing w:line="245" w:lineRule="auto"/>
              <w:rPr>
                <w:rFonts w:ascii="Arial"/>
                <w:color w:val="auto"/>
                <w:sz w:val="21"/>
              </w:rPr>
            </w:pPr>
          </w:p>
          <w:p w14:paraId="285A4663">
            <w:pPr>
              <w:spacing w:line="245" w:lineRule="auto"/>
              <w:rPr>
                <w:rFonts w:ascii="Arial"/>
                <w:color w:val="auto"/>
                <w:sz w:val="21"/>
              </w:rPr>
            </w:pPr>
          </w:p>
          <w:p w14:paraId="682C3A96">
            <w:pPr>
              <w:spacing w:line="246" w:lineRule="auto"/>
              <w:rPr>
                <w:rFonts w:ascii="Arial"/>
                <w:color w:val="auto"/>
                <w:sz w:val="21"/>
              </w:rPr>
            </w:pPr>
          </w:p>
          <w:p w14:paraId="3E8E4364">
            <w:pPr>
              <w:pStyle w:val="8"/>
              <w:spacing w:before="72" w:line="220" w:lineRule="auto"/>
              <w:ind w:left="611"/>
              <w:rPr>
                <w:color w:val="auto"/>
              </w:rPr>
            </w:pPr>
            <w:r>
              <w:rPr>
                <w:color w:val="auto"/>
                <w:spacing w:val="-3"/>
              </w:rPr>
              <w:t>其他收入</w:t>
            </w:r>
          </w:p>
        </w:tc>
      </w:tr>
      <w:tr w14:paraId="4A90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1102" w:type="dxa"/>
            <w:shd w:val="clear" w:color="auto" w:fill="C0C0C0"/>
            <w:vAlign w:val="top"/>
          </w:tcPr>
          <w:p w14:paraId="3D7CFE92">
            <w:pPr>
              <w:spacing w:line="286" w:lineRule="auto"/>
              <w:rPr>
                <w:rFonts w:ascii="Arial"/>
                <w:color w:val="auto"/>
                <w:sz w:val="21"/>
              </w:rPr>
            </w:pPr>
          </w:p>
          <w:p w14:paraId="5FA7586A">
            <w:pPr>
              <w:spacing w:line="286" w:lineRule="auto"/>
              <w:rPr>
                <w:rFonts w:ascii="Arial"/>
                <w:color w:val="auto"/>
                <w:sz w:val="21"/>
              </w:rPr>
            </w:pPr>
          </w:p>
          <w:p w14:paraId="63764A1F">
            <w:pPr>
              <w:pStyle w:val="8"/>
              <w:spacing w:before="71" w:line="219" w:lineRule="auto"/>
              <w:ind w:left="118"/>
              <w:rPr>
                <w:color w:val="auto"/>
              </w:rPr>
            </w:pPr>
            <w:r>
              <w:rPr>
                <w:color w:val="auto"/>
                <w:spacing w:val="-2"/>
              </w:rPr>
              <w:t>科目代码</w:t>
            </w:r>
          </w:p>
        </w:tc>
        <w:tc>
          <w:tcPr>
            <w:tcW w:w="2456" w:type="dxa"/>
            <w:gridSpan w:val="2"/>
            <w:shd w:val="clear" w:color="auto" w:fill="C0C0C0"/>
            <w:vAlign w:val="top"/>
          </w:tcPr>
          <w:p w14:paraId="5CE91109">
            <w:pPr>
              <w:spacing w:line="286" w:lineRule="auto"/>
              <w:rPr>
                <w:rFonts w:ascii="Arial"/>
                <w:color w:val="auto"/>
                <w:sz w:val="21"/>
              </w:rPr>
            </w:pPr>
          </w:p>
          <w:p w14:paraId="61AEF675">
            <w:pPr>
              <w:spacing w:line="286" w:lineRule="auto"/>
              <w:rPr>
                <w:rFonts w:ascii="Arial"/>
                <w:color w:val="auto"/>
                <w:sz w:val="21"/>
              </w:rPr>
            </w:pPr>
          </w:p>
          <w:p w14:paraId="118AFDC3">
            <w:pPr>
              <w:pStyle w:val="8"/>
              <w:spacing w:before="71" w:line="219" w:lineRule="auto"/>
              <w:ind w:left="564"/>
              <w:rPr>
                <w:color w:val="auto"/>
              </w:rPr>
            </w:pPr>
            <w:r>
              <w:rPr>
                <w:color w:val="auto"/>
                <w:spacing w:val="-2"/>
              </w:rPr>
              <w:t>科目名称</w:t>
            </w:r>
          </w:p>
        </w:tc>
        <w:tc>
          <w:tcPr>
            <w:tcW w:w="1050" w:type="dxa"/>
            <w:vMerge w:val="continue"/>
            <w:tcBorders>
              <w:top w:val="nil"/>
            </w:tcBorders>
            <w:vAlign w:val="top"/>
          </w:tcPr>
          <w:p w14:paraId="0EC8812C">
            <w:pPr>
              <w:rPr>
                <w:rFonts w:ascii="Arial"/>
                <w:color w:val="auto"/>
                <w:sz w:val="21"/>
              </w:rPr>
            </w:pPr>
          </w:p>
        </w:tc>
        <w:tc>
          <w:tcPr>
            <w:tcW w:w="1020" w:type="dxa"/>
            <w:vMerge w:val="continue"/>
            <w:tcBorders>
              <w:top w:val="nil"/>
            </w:tcBorders>
            <w:vAlign w:val="top"/>
          </w:tcPr>
          <w:p w14:paraId="611FC495">
            <w:pPr>
              <w:rPr>
                <w:rFonts w:ascii="Arial"/>
                <w:color w:val="auto"/>
                <w:sz w:val="21"/>
              </w:rPr>
            </w:pPr>
          </w:p>
        </w:tc>
        <w:tc>
          <w:tcPr>
            <w:tcW w:w="843" w:type="dxa"/>
            <w:vMerge w:val="continue"/>
            <w:tcBorders>
              <w:top w:val="nil"/>
            </w:tcBorders>
            <w:vAlign w:val="top"/>
          </w:tcPr>
          <w:p w14:paraId="7BAD279C">
            <w:pPr>
              <w:rPr>
                <w:rFonts w:ascii="Arial"/>
                <w:color w:val="auto"/>
                <w:sz w:val="21"/>
              </w:rPr>
            </w:pPr>
          </w:p>
        </w:tc>
        <w:tc>
          <w:tcPr>
            <w:tcW w:w="1282" w:type="dxa"/>
            <w:vMerge w:val="continue"/>
            <w:tcBorders>
              <w:top w:val="nil"/>
            </w:tcBorders>
            <w:vAlign w:val="top"/>
          </w:tcPr>
          <w:p w14:paraId="1FE43DE3">
            <w:pPr>
              <w:rPr>
                <w:rFonts w:ascii="Arial"/>
                <w:color w:val="auto"/>
                <w:sz w:val="21"/>
              </w:rPr>
            </w:pPr>
          </w:p>
        </w:tc>
        <w:tc>
          <w:tcPr>
            <w:tcW w:w="995" w:type="dxa"/>
            <w:vMerge w:val="continue"/>
            <w:tcBorders>
              <w:top w:val="nil"/>
            </w:tcBorders>
            <w:vAlign w:val="top"/>
          </w:tcPr>
          <w:p w14:paraId="6DBFCA88">
            <w:pPr>
              <w:rPr>
                <w:rFonts w:ascii="Arial"/>
                <w:color w:val="auto"/>
                <w:sz w:val="21"/>
              </w:rPr>
            </w:pPr>
          </w:p>
        </w:tc>
        <w:tc>
          <w:tcPr>
            <w:tcW w:w="1170" w:type="dxa"/>
            <w:vMerge w:val="continue"/>
            <w:tcBorders>
              <w:top w:val="nil"/>
            </w:tcBorders>
            <w:vAlign w:val="top"/>
          </w:tcPr>
          <w:p w14:paraId="4DB1E8C2">
            <w:pPr>
              <w:rPr>
                <w:rFonts w:ascii="Arial"/>
                <w:color w:val="auto"/>
                <w:sz w:val="21"/>
              </w:rPr>
            </w:pPr>
          </w:p>
        </w:tc>
        <w:tc>
          <w:tcPr>
            <w:tcW w:w="1666" w:type="dxa"/>
            <w:vMerge w:val="continue"/>
            <w:tcBorders>
              <w:top w:val="nil"/>
            </w:tcBorders>
            <w:vAlign w:val="top"/>
          </w:tcPr>
          <w:p w14:paraId="3ADDA648">
            <w:pPr>
              <w:rPr>
                <w:rFonts w:ascii="Arial"/>
                <w:color w:val="auto"/>
                <w:sz w:val="21"/>
              </w:rPr>
            </w:pPr>
          </w:p>
        </w:tc>
      </w:tr>
      <w:tr w14:paraId="390E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58" w:type="dxa"/>
            <w:gridSpan w:val="3"/>
            <w:shd w:val="clear" w:color="auto" w:fill="C0C0C0"/>
            <w:vAlign w:val="top"/>
          </w:tcPr>
          <w:p w14:paraId="50121EFE">
            <w:pPr>
              <w:pStyle w:val="8"/>
              <w:spacing w:before="46" w:line="219" w:lineRule="auto"/>
              <w:ind w:left="1337"/>
              <w:rPr>
                <w:color w:val="auto"/>
              </w:rPr>
            </w:pPr>
            <w:r>
              <w:rPr>
                <w:color w:val="auto"/>
                <w:spacing w:val="-4"/>
              </w:rPr>
              <w:t>栏次</w:t>
            </w:r>
          </w:p>
        </w:tc>
        <w:tc>
          <w:tcPr>
            <w:tcW w:w="1050" w:type="dxa"/>
            <w:shd w:val="clear" w:color="auto" w:fill="C0C0C0"/>
            <w:vAlign w:val="top"/>
          </w:tcPr>
          <w:p w14:paraId="01D98694">
            <w:pPr>
              <w:pStyle w:val="8"/>
              <w:spacing w:before="80" w:line="184" w:lineRule="auto"/>
              <w:ind w:left="533"/>
              <w:rPr>
                <w:color w:val="auto"/>
              </w:rPr>
            </w:pPr>
            <w:r>
              <w:rPr>
                <w:color w:val="auto"/>
              </w:rPr>
              <w:t>1</w:t>
            </w:r>
          </w:p>
        </w:tc>
        <w:tc>
          <w:tcPr>
            <w:tcW w:w="1020" w:type="dxa"/>
            <w:shd w:val="clear" w:color="auto" w:fill="C0C0C0"/>
            <w:vAlign w:val="top"/>
          </w:tcPr>
          <w:p w14:paraId="07240450">
            <w:pPr>
              <w:pStyle w:val="8"/>
              <w:spacing w:before="80" w:line="184" w:lineRule="auto"/>
              <w:ind w:left="586"/>
              <w:rPr>
                <w:color w:val="auto"/>
              </w:rPr>
            </w:pPr>
            <w:r>
              <w:rPr>
                <w:color w:val="auto"/>
              </w:rPr>
              <w:t>2</w:t>
            </w:r>
          </w:p>
        </w:tc>
        <w:tc>
          <w:tcPr>
            <w:tcW w:w="843" w:type="dxa"/>
            <w:shd w:val="clear" w:color="auto" w:fill="C0C0C0"/>
            <w:vAlign w:val="top"/>
          </w:tcPr>
          <w:p w14:paraId="507178FB">
            <w:pPr>
              <w:pStyle w:val="8"/>
              <w:spacing w:before="80" w:line="184" w:lineRule="auto"/>
              <w:ind w:left="443"/>
              <w:rPr>
                <w:color w:val="auto"/>
              </w:rPr>
            </w:pPr>
            <w:r>
              <w:rPr>
                <w:color w:val="auto"/>
              </w:rPr>
              <w:t>3</w:t>
            </w:r>
          </w:p>
        </w:tc>
        <w:tc>
          <w:tcPr>
            <w:tcW w:w="1282" w:type="dxa"/>
            <w:shd w:val="clear" w:color="auto" w:fill="C0C0C0"/>
            <w:vAlign w:val="top"/>
          </w:tcPr>
          <w:p w14:paraId="2E275172">
            <w:pPr>
              <w:pStyle w:val="8"/>
              <w:spacing w:before="80" w:line="184" w:lineRule="auto"/>
              <w:ind w:left="591"/>
              <w:rPr>
                <w:color w:val="auto"/>
              </w:rPr>
            </w:pPr>
            <w:r>
              <w:rPr>
                <w:color w:val="auto"/>
              </w:rPr>
              <w:t>4</w:t>
            </w:r>
          </w:p>
        </w:tc>
        <w:tc>
          <w:tcPr>
            <w:tcW w:w="995" w:type="dxa"/>
            <w:shd w:val="clear" w:color="auto" w:fill="C0C0C0"/>
            <w:vAlign w:val="top"/>
          </w:tcPr>
          <w:p w14:paraId="37C4D8CB">
            <w:pPr>
              <w:pStyle w:val="8"/>
              <w:spacing w:before="83" w:line="182" w:lineRule="auto"/>
              <w:ind w:left="342"/>
              <w:rPr>
                <w:color w:val="auto"/>
              </w:rPr>
            </w:pPr>
            <w:r>
              <w:rPr>
                <w:color w:val="auto"/>
              </w:rPr>
              <w:t>5</w:t>
            </w:r>
          </w:p>
        </w:tc>
        <w:tc>
          <w:tcPr>
            <w:tcW w:w="1170" w:type="dxa"/>
            <w:shd w:val="clear" w:color="auto" w:fill="C0C0C0"/>
            <w:vAlign w:val="top"/>
          </w:tcPr>
          <w:p w14:paraId="7A27970A">
            <w:pPr>
              <w:pStyle w:val="8"/>
              <w:spacing w:before="80" w:line="184" w:lineRule="auto"/>
              <w:ind w:left="441"/>
              <w:rPr>
                <w:color w:val="auto"/>
              </w:rPr>
            </w:pPr>
            <w:r>
              <w:rPr>
                <w:color w:val="auto"/>
              </w:rPr>
              <w:t>6</w:t>
            </w:r>
          </w:p>
        </w:tc>
        <w:tc>
          <w:tcPr>
            <w:tcW w:w="1666" w:type="dxa"/>
            <w:shd w:val="clear" w:color="auto" w:fill="C0C0C0"/>
            <w:vAlign w:val="top"/>
          </w:tcPr>
          <w:p w14:paraId="3BD3677D">
            <w:pPr>
              <w:pStyle w:val="8"/>
              <w:spacing w:before="83" w:line="182" w:lineRule="auto"/>
              <w:ind w:left="1002"/>
              <w:rPr>
                <w:color w:val="auto"/>
              </w:rPr>
            </w:pPr>
            <w:r>
              <w:rPr>
                <w:color w:val="auto"/>
              </w:rPr>
              <w:t>7</w:t>
            </w:r>
          </w:p>
        </w:tc>
      </w:tr>
      <w:tr w14:paraId="22887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58" w:type="dxa"/>
            <w:gridSpan w:val="3"/>
            <w:shd w:val="clear" w:color="auto" w:fill="C0C0C0"/>
            <w:vAlign w:val="center"/>
          </w:tcPr>
          <w:p w14:paraId="465F8C79">
            <w:pPr>
              <w:keepNext w:val="0"/>
              <w:keepLines w:val="0"/>
              <w:widowControl/>
              <w:suppressLineNumbers w:val="0"/>
              <w:jc w:val="center"/>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合计</w:t>
            </w:r>
          </w:p>
        </w:tc>
        <w:tc>
          <w:tcPr>
            <w:tcW w:w="1050" w:type="dxa"/>
            <w:vAlign w:val="center"/>
          </w:tcPr>
          <w:p w14:paraId="4191B121">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2,093.08</w:t>
            </w:r>
          </w:p>
        </w:tc>
        <w:tc>
          <w:tcPr>
            <w:tcW w:w="1020" w:type="dxa"/>
            <w:vAlign w:val="center"/>
          </w:tcPr>
          <w:p w14:paraId="75A886D6">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797.56</w:t>
            </w:r>
          </w:p>
        </w:tc>
        <w:tc>
          <w:tcPr>
            <w:tcW w:w="843" w:type="dxa"/>
            <w:vAlign w:val="center"/>
          </w:tcPr>
          <w:p w14:paraId="6C700FE8">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282" w:type="dxa"/>
            <w:vAlign w:val="center"/>
          </w:tcPr>
          <w:p w14:paraId="6A04DBF4">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995" w:type="dxa"/>
            <w:vAlign w:val="center"/>
          </w:tcPr>
          <w:p w14:paraId="170DB711">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170" w:type="dxa"/>
            <w:vAlign w:val="center"/>
          </w:tcPr>
          <w:p w14:paraId="391852EF">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666" w:type="dxa"/>
            <w:vAlign w:val="center"/>
          </w:tcPr>
          <w:p w14:paraId="5066964F">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1,295.52</w:t>
            </w:r>
          </w:p>
        </w:tc>
      </w:tr>
      <w:tr w14:paraId="1E478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3" w:type="dxa"/>
            <w:gridSpan w:val="2"/>
            <w:vAlign w:val="center"/>
          </w:tcPr>
          <w:p w14:paraId="39FABE30">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w:t>
            </w:r>
          </w:p>
        </w:tc>
        <w:tc>
          <w:tcPr>
            <w:tcW w:w="2385" w:type="dxa"/>
            <w:vAlign w:val="center"/>
          </w:tcPr>
          <w:p w14:paraId="2C40B48D">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050" w:type="dxa"/>
            <w:vAlign w:val="center"/>
          </w:tcPr>
          <w:p w14:paraId="6876ECC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96.41</w:t>
            </w:r>
          </w:p>
        </w:tc>
        <w:tc>
          <w:tcPr>
            <w:tcW w:w="1020" w:type="dxa"/>
            <w:vAlign w:val="center"/>
          </w:tcPr>
          <w:p w14:paraId="708C92F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843" w:type="dxa"/>
            <w:vAlign w:val="center"/>
          </w:tcPr>
          <w:p w14:paraId="75A6F1A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7257DF1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1D7266E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4478681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215263C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r>
      <w:tr w14:paraId="0DDD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73" w:type="dxa"/>
            <w:gridSpan w:val="2"/>
            <w:vAlign w:val="center"/>
          </w:tcPr>
          <w:p w14:paraId="0599D26D">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20103</w:t>
            </w:r>
          </w:p>
        </w:tc>
        <w:tc>
          <w:tcPr>
            <w:tcW w:w="2385" w:type="dxa"/>
            <w:vAlign w:val="center"/>
          </w:tcPr>
          <w:p w14:paraId="4A5E1E30">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政府办公厅（室）及相关机构事务</w:t>
            </w:r>
          </w:p>
        </w:tc>
        <w:tc>
          <w:tcPr>
            <w:tcW w:w="1050" w:type="dxa"/>
            <w:vAlign w:val="center"/>
          </w:tcPr>
          <w:p w14:paraId="6655DB2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020" w:type="dxa"/>
            <w:vAlign w:val="center"/>
          </w:tcPr>
          <w:p w14:paraId="2E5F664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843" w:type="dxa"/>
            <w:vAlign w:val="center"/>
          </w:tcPr>
          <w:p w14:paraId="6E6701C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77734EE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57D5A50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7367BB8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6FAF04C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r>
      <w:tr w14:paraId="2A00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73" w:type="dxa"/>
            <w:gridSpan w:val="2"/>
            <w:vAlign w:val="center"/>
          </w:tcPr>
          <w:p w14:paraId="72082A47">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2010301</w:t>
            </w:r>
          </w:p>
        </w:tc>
        <w:tc>
          <w:tcPr>
            <w:tcW w:w="2385" w:type="dxa"/>
            <w:vAlign w:val="center"/>
          </w:tcPr>
          <w:p w14:paraId="25AF586F">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050" w:type="dxa"/>
            <w:vAlign w:val="center"/>
          </w:tcPr>
          <w:p w14:paraId="4FB8645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020" w:type="dxa"/>
            <w:vAlign w:val="center"/>
          </w:tcPr>
          <w:p w14:paraId="6057500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843" w:type="dxa"/>
            <w:vAlign w:val="center"/>
          </w:tcPr>
          <w:p w14:paraId="644A421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4BCF850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1403076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5CAC7EB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4944DEE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r>
      <w:tr w14:paraId="7972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73" w:type="dxa"/>
            <w:gridSpan w:val="2"/>
            <w:vAlign w:val="center"/>
          </w:tcPr>
          <w:p w14:paraId="7178A6B9">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20199</w:t>
            </w:r>
          </w:p>
        </w:tc>
        <w:tc>
          <w:tcPr>
            <w:tcW w:w="2385" w:type="dxa"/>
            <w:vAlign w:val="center"/>
          </w:tcPr>
          <w:p w14:paraId="6E92057F">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其他一般公共服务支出</w:t>
            </w:r>
          </w:p>
        </w:tc>
        <w:tc>
          <w:tcPr>
            <w:tcW w:w="1050" w:type="dxa"/>
            <w:vAlign w:val="center"/>
          </w:tcPr>
          <w:p w14:paraId="3FDD3D6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1020" w:type="dxa"/>
            <w:vAlign w:val="center"/>
          </w:tcPr>
          <w:p w14:paraId="376D1E5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843" w:type="dxa"/>
            <w:vAlign w:val="center"/>
          </w:tcPr>
          <w:p w14:paraId="76AD4DD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3D1ABCC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4ECF41D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1A3B5C2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626A5F9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07AA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73" w:type="dxa"/>
            <w:gridSpan w:val="2"/>
            <w:vAlign w:val="center"/>
          </w:tcPr>
          <w:p w14:paraId="16A8F592">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2019999</w:t>
            </w:r>
          </w:p>
        </w:tc>
        <w:tc>
          <w:tcPr>
            <w:tcW w:w="2385" w:type="dxa"/>
            <w:vAlign w:val="center"/>
          </w:tcPr>
          <w:p w14:paraId="71DF5D4D">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其他一般公共服务支出</w:t>
            </w:r>
          </w:p>
        </w:tc>
        <w:tc>
          <w:tcPr>
            <w:tcW w:w="1050" w:type="dxa"/>
            <w:vAlign w:val="center"/>
          </w:tcPr>
          <w:p w14:paraId="5E74DCF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1020" w:type="dxa"/>
            <w:vAlign w:val="center"/>
          </w:tcPr>
          <w:p w14:paraId="4D446A7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843" w:type="dxa"/>
            <w:vAlign w:val="center"/>
          </w:tcPr>
          <w:p w14:paraId="25118FA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7EB1936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6477CD4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1C4F01F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465218A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0A81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73" w:type="dxa"/>
            <w:gridSpan w:val="2"/>
            <w:vAlign w:val="center"/>
          </w:tcPr>
          <w:p w14:paraId="1202C85C">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w:t>
            </w:r>
          </w:p>
        </w:tc>
        <w:tc>
          <w:tcPr>
            <w:tcW w:w="2385" w:type="dxa"/>
            <w:vAlign w:val="center"/>
          </w:tcPr>
          <w:p w14:paraId="5CA9F338">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1050" w:type="dxa"/>
            <w:vAlign w:val="center"/>
          </w:tcPr>
          <w:p w14:paraId="2E114C2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1020" w:type="dxa"/>
            <w:vAlign w:val="center"/>
          </w:tcPr>
          <w:p w14:paraId="5F3041C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843" w:type="dxa"/>
            <w:vAlign w:val="center"/>
          </w:tcPr>
          <w:p w14:paraId="62FA143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6BCEEBB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38C1DE7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482708B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41F8870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8CFC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73" w:type="dxa"/>
            <w:gridSpan w:val="2"/>
            <w:vAlign w:val="center"/>
          </w:tcPr>
          <w:p w14:paraId="792DC2A4">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w:t>
            </w:r>
          </w:p>
        </w:tc>
        <w:tc>
          <w:tcPr>
            <w:tcW w:w="2385" w:type="dxa"/>
            <w:vAlign w:val="center"/>
          </w:tcPr>
          <w:p w14:paraId="4348CDC9">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林业和草原</w:t>
            </w:r>
          </w:p>
        </w:tc>
        <w:tc>
          <w:tcPr>
            <w:tcW w:w="1050" w:type="dxa"/>
            <w:vAlign w:val="center"/>
          </w:tcPr>
          <w:p w14:paraId="737F0CC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1020" w:type="dxa"/>
            <w:vAlign w:val="center"/>
          </w:tcPr>
          <w:p w14:paraId="5E3CCCD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843" w:type="dxa"/>
            <w:vAlign w:val="center"/>
          </w:tcPr>
          <w:p w14:paraId="2FA49BF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0406D886">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3BD269A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3B398ED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2D2B074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E9A8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73" w:type="dxa"/>
            <w:gridSpan w:val="2"/>
            <w:vAlign w:val="center"/>
          </w:tcPr>
          <w:p w14:paraId="150A9151">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2130202</w:t>
            </w:r>
          </w:p>
        </w:tc>
        <w:tc>
          <w:tcPr>
            <w:tcW w:w="2385" w:type="dxa"/>
            <w:vAlign w:val="center"/>
          </w:tcPr>
          <w:p w14:paraId="065F95FC">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一般行政管理事务</w:t>
            </w:r>
          </w:p>
        </w:tc>
        <w:tc>
          <w:tcPr>
            <w:tcW w:w="1050" w:type="dxa"/>
            <w:vAlign w:val="center"/>
          </w:tcPr>
          <w:p w14:paraId="39D0932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1.00</w:t>
            </w:r>
          </w:p>
        </w:tc>
        <w:tc>
          <w:tcPr>
            <w:tcW w:w="1020" w:type="dxa"/>
            <w:vAlign w:val="center"/>
          </w:tcPr>
          <w:p w14:paraId="38FB2416">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1.00</w:t>
            </w:r>
          </w:p>
        </w:tc>
        <w:tc>
          <w:tcPr>
            <w:tcW w:w="843" w:type="dxa"/>
            <w:vAlign w:val="center"/>
          </w:tcPr>
          <w:p w14:paraId="5C87F99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339848A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6E19157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7A860BA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1832C6D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007B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173" w:type="dxa"/>
            <w:gridSpan w:val="2"/>
            <w:vAlign w:val="center"/>
          </w:tcPr>
          <w:p w14:paraId="10226547">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2130207</w:t>
            </w:r>
          </w:p>
        </w:tc>
        <w:tc>
          <w:tcPr>
            <w:tcW w:w="2385" w:type="dxa"/>
            <w:vAlign w:val="center"/>
          </w:tcPr>
          <w:p w14:paraId="3AACAF42">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森林资源管理</w:t>
            </w:r>
          </w:p>
        </w:tc>
        <w:tc>
          <w:tcPr>
            <w:tcW w:w="1050" w:type="dxa"/>
            <w:vAlign w:val="center"/>
          </w:tcPr>
          <w:p w14:paraId="4C2BFD3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16.45</w:t>
            </w:r>
          </w:p>
        </w:tc>
        <w:tc>
          <w:tcPr>
            <w:tcW w:w="1020" w:type="dxa"/>
            <w:vAlign w:val="center"/>
          </w:tcPr>
          <w:p w14:paraId="0377F7A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16.45</w:t>
            </w:r>
          </w:p>
        </w:tc>
        <w:tc>
          <w:tcPr>
            <w:tcW w:w="843" w:type="dxa"/>
            <w:vAlign w:val="center"/>
          </w:tcPr>
          <w:p w14:paraId="0BEC7676">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7B586C5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0C5CDC2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2166EF2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77C7CDE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0A0E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173" w:type="dxa"/>
            <w:gridSpan w:val="2"/>
            <w:vAlign w:val="center"/>
          </w:tcPr>
          <w:p w14:paraId="070FD967">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2130209</w:t>
            </w:r>
          </w:p>
        </w:tc>
        <w:tc>
          <w:tcPr>
            <w:tcW w:w="2385" w:type="dxa"/>
            <w:vAlign w:val="center"/>
          </w:tcPr>
          <w:p w14:paraId="62C19F3F">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森林生态效益补偿</w:t>
            </w:r>
          </w:p>
        </w:tc>
        <w:tc>
          <w:tcPr>
            <w:tcW w:w="1050" w:type="dxa"/>
            <w:vAlign w:val="center"/>
          </w:tcPr>
          <w:p w14:paraId="0B887E0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0.08</w:t>
            </w:r>
          </w:p>
        </w:tc>
        <w:tc>
          <w:tcPr>
            <w:tcW w:w="1020" w:type="dxa"/>
            <w:vAlign w:val="center"/>
          </w:tcPr>
          <w:p w14:paraId="6DB4392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0.08</w:t>
            </w:r>
          </w:p>
        </w:tc>
        <w:tc>
          <w:tcPr>
            <w:tcW w:w="843" w:type="dxa"/>
            <w:vAlign w:val="center"/>
          </w:tcPr>
          <w:p w14:paraId="2727E1F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4D7101B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537203B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25FA6BD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2CA6D4F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5B87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4840B6A5">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220</w:t>
            </w:r>
          </w:p>
        </w:tc>
        <w:tc>
          <w:tcPr>
            <w:tcW w:w="2385" w:type="dxa"/>
            <w:vAlign w:val="center"/>
          </w:tcPr>
          <w:p w14:paraId="45661FB4">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自然资源海洋气象等支出</w:t>
            </w:r>
          </w:p>
        </w:tc>
        <w:tc>
          <w:tcPr>
            <w:tcW w:w="1050" w:type="dxa"/>
            <w:vAlign w:val="center"/>
          </w:tcPr>
          <w:p w14:paraId="43E7633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1,959.15</w:t>
            </w:r>
          </w:p>
        </w:tc>
        <w:tc>
          <w:tcPr>
            <w:tcW w:w="1020" w:type="dxa"/>
            <w:vAlign w:val="center"/>
          </w:tcPr>
          <w:p w14:paraId="0B3FECB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664.59</w:t>
            </w:r>
          </w:p>
        </w:tc>
        <w:tc>
          <w:tcPr>
            <w:tcW w:w="843" w:type="dxa"/>
            <w:vAlign w:val="center"/>
          </w:tcPr>
          <w:p w14:paraId="09759A5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1252ED5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2CEA880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490A4F4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622AAAA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1,294.56</w:t>
            </w:r>
          </w:p>
        </w:tc>
      </w:tr>
      <w:tr w14:paraId="7AF8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3D500A5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w:t>
            </w:r>
          </w:p>
        </w:tc>
        <w:tc>
          <w:tcPr>
            <w:tcW w:w="2385" w:type="dxa"/>
            <w:vAlign w:val="center"/>
          </w:tcPr>
          <w:p w14:paraId="5DD4088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自然资源事务</w:t>
            </w:r>
          </w:p>
        </w:tc>
        <w:tc>
          <w:tcPr>
            <w:tcW w:w="1050" w:type="dxa"/>
            <w:vAlign w:val="center"/>
          </w:tcPr>
          <w:p w14:paraId="1FB534C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1,959.15</w:t>
            </w:r>
          </w:p>
        </w:tc>
        <w:tc>
          <w:tcPr>
            <w:tcW w:w="1020" w:type="dxa"/>
            <w:vAlign w:val="center"/>
          </w:tcPr>
          <w:p w14:paraId="4186F55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664.59</w:t>
            </w:r>
          </w:p>
        </w:tc>
        <w:tc>
          <w:tcPr>
            <w:tcW w:w="843" w:type="dxa"/>
            <w:vAlign w:val="center"/>
          </w:tcPr>
          <w:p w14:paraId="2CD9CFA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0C439DF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072C41D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3D007C6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379CFEF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1,294.56</w:t>
            </w:r>
          </w:p>
        </w:tc>
      </w:tr>
      <w:tr w14:paraId="4A16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2E382AC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2200101</w:t>
            </w:r>
          </w:p>
        </w:tc>
        <w:tc>
          <w:tcPr>
            <w:tcW w:w="2385" w:type="dxa"/>
            <w:vAlign w:val="center"/>
          </w:tcPr>
          <w:p w14:paraId="31AD233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050" w:type="dxa"/>
            <w:vAlign w:val="center"/>
          </w:tcPr>
          <w:p w14:paraId="78B8C13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1,714.11</w:t>
            </w:r>
          </w:p>
        </w:tc>
        <w:tc>
          <w:tcPr>
            <w:tcW w:w="1020" w:type="dxa"/>
            <w:vAlign w:val="center"/>
          </w:tcPr>
          <w:p w14:paraId="6E6452F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419.55</w:t>
            </w:r>
          </w:p>
        </w:tc>
        <w:tc>
          <w:tcPr>
            <w:tcW w:w="843" w:type="dxa"/>
            <w:vAlign w:val="center"/>
          </w:tcPr>
          <w:p w14:paraId="35D3EDC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67C2771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6139EA3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432F3B4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7D9BF7F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1,294.56</w:t>
            </w:r>
          </w:p>
        </w:tc>
      </w:tr>
      <w:tr w14:paraId="219DD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2D27FFD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2200102</w:t>
            </w:r>
          </w:p>
        </w:tc>
        <w:tc>
          <w:tcPr>
            <w:tcW w:w="2385" w:type="dxa"/>
            <w:vAlign w:val="center"/>
          </w:tcPr>
          <w:p w14:paraId="157B718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一般行政管理事务</w:t>
            </w:r>
          </w:p>
        </w:tc>
        <w:tc>
          <w:tcPr>
            <w:tcW w:w="1050" w:type="dxa"/>
            <w:vAlign w:val="center"/>
          </w:tcPr>
          <w:p w14:paraId="36BAC98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166.29</w:t>
            </w:r>
          </w:p>
        </w:tc>
        <w:tc>
          <w:tcPr>
            <w:tcW w:w="1020" w:type="dxa"/>
            <w:vAlign w:val="center"/>
          </w:tcPr>
          <w:p w14:paraId="42AFF97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166.29</w:t>
            </w:r>
          </w:p>
        </w:tc>
        <w:tc>
          <w:tcPr>
            <w:tcW w:w="843" w:type="dxa"/>
            <w:vAlign w:val="center"/>
          </w:tcPr>
          <w:p w14:paraId="463DB78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623C1FC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68A3F3D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6A2575A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5B6C424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44BE7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6E440D2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2200104</w:t>
            </w:r>
          </w:p>
        </w:tc>
        <w:tc>
          <w:tcPr>
            <w:tcW w:w="2385" w:type="dxa"/>
            <w:vAlign w:val="center"/>
          </w:tcPr>
          <w:p w14:paraId="0CF3FBC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自然资源规划及管理</w:t>
            </w:r>
          </w:p>
        </w:tc>
        <w:tc>
          <w:tcPr>
            <w:tcW w:w="1050" w:type="dxa"/>
            <w:vAlign w:val="center"/>
          </w:tcPr>
          <w:p w14:paraId="10F5C06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1020" w:type="dxa"/>
            <w:vAlign w:val="center"/>
          </w:tcPr>
          <w:p w14:paraId="7F2ECB3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843" w:type="dxa"/>
            <w:vAlign w:val="center"/>
          </w:tcPr>
          <w:p w14:paraId="2FED28D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00A6638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7EC09DD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2D95356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31616EA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11D7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124525C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2200199</w:t>
            </w:r>
          </w:p>
        </w:tc>
        <w:tc>
          <w:tcPr>
            <w:tcW w:w="2385" w:type="dxa"/>
            <w:vAlign w:val="center"/>
          </w:tcPr>
          <w:p w14:paraId="6922861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其他自然资源事务支出</w:t>
            </w:r>
          </w:p>
        </w:tc>
        <w:tc>
          <w:tcPr>
            <w:tcW w:w="1050" w:type="dxa"/>
            <w:vAlign w:val="center"/>
          </w:tcPr>
          <w:p w14:paraId="501ED82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38.75</w:t>
            </w:r>
          </w:p>
        </w:tc>
        <w:tc>
          <w:tcPr>
            <w:tcW w:w="1020" w:type="dxa"/>
            <w:vAlign w:val="center"/>
          </w:tcPr>
          <w:p w14:paraId="0C738BF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38.75</w:t>
            </w:r>
          </w:p>
        </w:tc>
        <w:tc>
          <w:tcPr>
            <w:tcW w:w="843" w:type="dxa"/>
            <w:vAlign w:val="center"/>
          </w:tcPr>
          <w:p w14:paraId="6D4E037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4DBA378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1D75AD5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5C73BE5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7A04D93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7CCBA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7C9E621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2385" w:type="dxa"/>
            <w:vAlign w:val="center"/>
          </w:tcPr>
          <w:p w14:paraId="56C8D76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灾害防治及应急管理支出</w:t>
            </w:r>
          </w:p>
        </w:tc>
        <w:tc>
          <w:tcPr>
            <w:tcW w:w="1050" w:type="dxa"/>
            <w:vAlign w:val="center"/>
          </w:tcPr>
          <w:p w14:paraId="6FB65D1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020" w:type="dxa"/>
            <w:vAlign w:val="center"/>
          </w:tcPr>
          <w:p w14:paraId="236BFD3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843" w:type="dxa"/>
            <w:vAlign w:val="center"/>
          </w:tcPr>
          <w:p w14:paraId="313C6AA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659A2AC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7A175A3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5E5FB58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58E8C65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68044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4A49C92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22406</w:t>
            </w:r>
          </w:p>
        </w:tc>
        <w:tc>
          <w:tcPr>
            <w:tcW w:w="2385" w:type="dxa"/>
            <w:vAlign w:val="center"/>
          </w:tcPr>
          <w:p w14:paraId="0229E2A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自然灾害防治</w:t>
            </w:r>
          </w:p>
        </w:tc>
        <w:tc>
          <w:tcPr>
            <w:tcW w:w="1050" w:type="dxa"/>
            <w:vAlign w:val="center"/>
          </w:tcPr>
          <w:p w14:paraId="1BF5A09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020" w:type="dxa"/>
            <w:vAlign w:val="center"/>
          </w:tcPr>
          <w:p w14:paraId="1BCB1A0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843" w:type="dxa"/>
            <w:vAlign w:val="center"/>
          </w:tcPr>
          <w:p w14:paraId="7BFC7F3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1712138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4408BF3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4E5BB6F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52AEC5C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4F6F1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3" w:type="dxa"/>
            <w:gridSpan w:val="2"/>
            <w:vAlign w:val="center"/>
          </w:tcPr>
          <w:p w14:paraId="664FA3C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2240601</w:t>
            </w:r>
          </w:p>
        </w:tc>
        <w:tc>
          <w:tcPr>
            <w:tcW w:w="2385" w:type="dxa"/>
            <w:vAlign w:val="center"/>
          </w:tcPr>
          <w:p w14:paraId="3F3295C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地质灾害防治</w:t>
            </w:r>
          </w:p>
        </w:tc>
        <w:tc>
          <w:tcPr>
            <w:tcW w:w="1050" w:type="dxa"/>
            <w:vAlign w:val="center"/>
          </w:tcPr>
          <w:p w14:paraId="6AD3368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020" w:type="dxa"/>
            <w:vAlign w:val="center"/>
          </w:tcPr>
          <w:p w14:paraId="2B65C2F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843" w:type="dxa"/>
            <w:vAlign w:val="center"/>
          </w:tcPr>
          <w:p w14:paraId="60CB03D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282" w:type="dxa"/>
            <w:vAlign w:val="center"/>
          </w:tcPr>
          <w:p w14:paraId="4B6FA7D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995" w:type="dxa"/>
            <w:vAlign w:val="center"/>
          </w:tcPr>
          <w:p w14:paraId="510305B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0" w:type="dxa"/>
            <w:vAlign w:val="center"/>
          </w:tcPr>
          <w:p w14:paraId="53C02F6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666" w:type="dxa"/>
            <w:vAlign w:val="center"/>
          </w:tcPr>
          <w:p w14:paraId="7884EF7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bl>
    <w:p w14:paraId="24992C49">
      <w:pPr>
        <w:spacing w:before="48" w:line="219" w:lineRule="auto"/>
        <w:ind w:left="120"/>
        <w:rPr>
          <w:rFonts w:ascii="宋体" w:hAnsi="宋体" w:eastAsia="宋体" w:cs="宋体"/>
          <w:color w:val="auto"/>
          <w:spacing w:val="-1"/>
          <w:sz w:val="22"/>
          <w:szCs w:val="22"/>
        </w:rPr>
      </w:pPr>
    </w:p>
    <w:p w14:paraId="5CF19989">
      <w:pPr>
        <w:spacing w:before="48" w:line="219" w:lineRule="auto"/>
        <w:ind w:left="120"/>
        <w:rPr>
          <w:rFonts w:ascii="宋体" w:hAnsi="宋体" w:eastAsia="宋体" w:cs="宋体"/>
          <w:color w:val="auto"/>
          <w:sz w:val="22"/>
          <w:szCs w:val="22"/>
        </w:rPr>
      </w:pPr>
      <w:r>
        <w:rPr>
          <w:rFonts w:ascii="宋体" w:hAnsi="宋体" w:eastAsia="宋体" w:cs="宋体"/>
          <w:color w:val="auto"/>
          <w:spacing w:val="-1"/>
          <w:sz w:val="22"/>
          <w:szCs w:val="22"/>
        </w:rPr>
        <w:t>注：本表反映部门本年度取得的各项收入情况。</w:t>
      </w:r>
    </w:p>
    <w:p w14:paraId="5F3627CE">
      <w:pPr>
        <w:spacing w:line="242" w:lineRule="auto"/>
        <w:rPr>
          <w:rFonts w:ascii="Arial"/>
          <w:color w:val="auto"/>
          <w:sz w:val="21"/>
        </w:rPr>
      </w:pPr>
    </w:p>
    <w:p w14:paraId="3F7D68F4">
      <w:pPr>
        <w:spacing w:line="242" w:lineRule="auto"/>
        <w:rPr>
          <w:rFonts w:ascii="Arial"/>
          <w:color w:val="auto"/>
          <w:sz w:val="21"/>
        </w:rPr>
      </w:pPr>
    </w:p>
    <w:p w14:paraId="2BB16C63">
      <w:pPr>
        <w:pStyle w:val="2"/>
        <w:rPr>
          <w:rFonts w:ascii="Arial"/>
          <w:color w:val="auto"/>
          <w:sz w:val="21"/>
        </w:rPr>
      </w:pPr>
    </w:p>
    <w:p w14:paraId="0C3BE2F9">
      <w:pPr>
        <w:pStyle w:val="3"/>
      </w:pPr>
    </w:p>
    <w:p w14:paraId="6438A043">
      <w:pPr>
        <w:pStyle w:val="2"/>
        <w:spacing w:before="101" w:line="227" w:lineRule="auto"/>
        <w:ind w:left="1290"/>
        <w:outlineLvl w:val="0"/>
        <w:rPr>
          <w:color w:val="auto"/>
        </w:rPr>
      </w:pPr>
      <w:r>
        <w:rPr>
          <w:color w:val="auto"/>
          <w:spacing w:val="6"/>
        </w:rPr>
        <w:t>三、支出决算表</w:t>
      </w:r>
    </w:p>
    <w:p w14:paraId="6D4090D4">
      <w:pPr>
        <w:spacing w:before="146" w:line="219" w:lineRule="auto"/>
        <w:ind w:left="5325"/>
        <w:outlineLvl w:val="1"/>
        <w:rPr>
          <w:rFonts w:ascii="宋体" w:hAnsi="宋体" w:eastAsia="宋体" w:cs="宋体"/>
          <w:color w:val="auto"/>
          <w:sz w:val="30"/>
          <w:szCs w:val="30"/>
        </w:rPr>
      </w:pPr>
      <w:r>
        <w:rPr>
          <w:rFonts w:ascii="宋体" w:hAnsi="宋体" w:eastAsia="宋体" w:cs="宋体"/>
          <w:color w:val="auto"/>
          <w:spacing w:val="-3"/>
          <w:sz w:val="30"/>
          <w:szCs w:val="30"/>
        </w:rPr>
        <w:t>支出决算表</w:t>
      </w:r>
    </w:p>
    <w:p w14:paraId="7FA11753">
      <w:pPr>
        <w:spacing w:before="162" w:line="230" w:lineRule="auto"/>
        <w:ind w:left="10515"/>
        <w:rPr>
          <w:rFonts w:ascii="宋体" w:hAnsi="宋体" w:eastAsia="宋体" w:cs="宋体"/>
          <w:color w:val="auto"/>
          <w:spacing w:val="1"/>
          <w:sz w:val="19"/>
          <w:szCs w:val="19"/>
        </w:rPr>
      </w:pPr>
      <w:r>
        <w:rPr>
          <w:rFonts w:ascii="宋体" w:hAnsi="宋体" w:eastAsia="宋体" w:cs="宋体"/>
          <w:color w:val="auto"/>
          <w:spacing w:val="1"/>
          <w:sz w:val="19"/>
          <w:szCs w:val="19"/>
        </w:rPr>
        <w:t>公开</w:t>
      </w:r>
      <w:r>
        <w:rPr>
          <w:rFonts w:ascii="宋体" w:hAnsi="宋体" w:eastAsia="宋体" w:cs="宋体"/>
          <w:color w:val="auto"/>
          <w:spacing w:val="-32"/>
          <w:sz w:val="19"/>
          <w:szCs w:val="19"/>
        </w:rPr>
        <w:t xml:space="preserve"> </w:t>
      </w:r>
      <w:r>
        <w:rPr>
          <w:rFonts w:ascii="宋体" w:hAnsi="宋体" w:eastAsia="宋体" w:cs="宋体"/>
          <w:color w:val="auto"/>
          <w:spacing w:val="1"/>
          <w:sz w:val="19"/>
          <w:szCs w:val="19"/>
        </w:rPr>
        <w:t>03</w:t>
      </w:r>
      <w:r>
        <w:rPr>
          <w:rFonts w:ascii="宋体" w:hAnsi="宋体" w:eastAsia="宋体" w:cs="宋体"/>
          <w:color w:val="auto"/>
          <w:spacing w:val="-39"/>
          <w:sz w:val="19"/>
          <w:szCs w:val="19"/>
        </w:rPr>
        <w:t xml:space="preserve"> </w:t>
      </w:r>
      <w:r>
        <w:rPr>
          <w:rFonts w:ascii="宋体" w:hAnsi="宋体" w:eastAsia="宋体" w:cs="宋体"/>
          <w:color w:val="auto"/>
          <w:spacing w:val="1"/>
          <w:sz w:val="19"/>
          <w:szCs w:val="19"/>
        </w:rPr>
        <w:t>表</w:t>
      </w:r>
    </w:p>
    <w:p w14:paraId="6FF80C9F">
      <w:pPr>
        <w:spacing w:before="39" w:line="229" w:lineRule="auto"/>
        <w:ind w:left="644" w:leftChars="0" w:hanging="4" w:firstLineChars="0"/>
        <w:rPr>
          <w:rFonts w:hint="eastAsia" w:ascii="宋体" w:hAnsi="宋体" w:eastAsia="宋体" w:cs="宋体"/>
          <w:color w:val="auto"/>
          <w:spacing w:val="1"/>
          <w:sz w:val="19"/>
          <w:szCs w:val="19"/>
          <w:lang w:eastAsia="zh-CN"/>
        </w:rPr>
      </w:pPr>
      <w:r>
        <w:rPr>
          <w:rFonts w:ascii="宋体" w:hAnsi="宋体" w:eastAsia="宋体" w:cs="宋体"/>
          <w:color w:val="auto"/>
          <w:spacing w:val="7"/>
          <w:sz w:val="19"/>
          <w:szCs w:val="19"/>
        </w:rPr>
        <w:t xml:space="preserve"> 部门：鄂州市自然资源和规划局鄂城分局              </w:t>
      </w:r>
      <w:r>
        <w:rPr>
          <w:rFonts w:ascii="宋体" w:hAnsi="宋体" w:eastAsia="宋体" w:cs="宋体"/>
          <w:color w:val="auto"/>
          <w:spacing w:val="6"/>
          <w:sz w:val="19"/>
          <w:szCs w:val="19"/>
        </w:rPr>
        <w:t xml:space="preserve">                                          金额单位：</w:t>
      </w:r>
      <w:r>
        <w:rPr>
          <w:rFonts w:ascii="宋体" w:hAnsi="宋体" w:eastAsia="宋体" w:cs="宋体"/>
          <w:color w:val="auto"/>
          <w:spacing w:val="2"/>
          <w:sz w:val="19"/>
          <w:szCs w:val="19"/>
        </w:rPr>
        <w:t>万</w:t>
      </w:r>
      <w:r>
        <w:rPr>
          <w:rFonts w:hint="eastAsia" w:ascii="宋体" w:hAnsi="宋体" w:eastAsia="宋体" w:cs="宋体"/>
          <w:color w:val="auto"/>
          <w:spacing w:val="2"/>
          <w:sz w:val="19"/>
          <w:szCs w:val="19"/>
          <w:lang w:eastAsia="zh-CN"/>
        </w:rPr>
        <w:t>元</w:t>
      </w:r>
    </w:p>
    <w:tbl>
      <w:tblPr>
        <w:tblStyle w:val="7"/>
        <w:tblpPr w:leftFromText="180" w:rightFromText="180" w:vertAnchor="text" w:horzAnchor="page" w:tblpX="684" w:tblpY="193"/>
        <w:tblOverlap w:val="never"/>
        <w:tblW w:w="108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2787"/>
        <w:gridCol w:w="1374"/>
        <w:gridCol w:w="1427"/>
        <w:gridCol w:w="1090"/>
        <w:gridCol w:w="891"/>
        <w:gridCol w:w="768"/>
        <w:gridCol w:w="1172"/>
      </w:tblGrid>
      <w:tr w14:paraId="6618A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177" w:type="dxa"/>
            <w:gridSpan w:val="2"/>
            <w:shd w:val="clear" w:color="auto" w:fill="C0C0C0"/>
            <w:vAlign w:val="top"/>
          </w:tcPr>
          <w:p w14:paraId="2E672014">
            <w:pPr>
              <w:pStyle w:val="8"/>
              <w:spacing w:before="50" w:line="219" w:lineRule="auto"/>
              <w:ind w:left="1879"/>
              <w:rPr>
                <w:color w:val="auto"/>
              </w:rPr>
            </w:pPr>
            <w:r>
              <w:rPr>
                <w:color w:val="auto"/>
                <w:spacing w:val="-6"/>
              </w:rPr>
              <w:t>项目</w:t>
            </w:r>
          </w:p>
        </w:tc>
        <w:tc>
          <w:tcPr>
            <w:tcW w:w="1374" w:type="dxa"/>
            <w:vMerge w:val="restart"/>
            <w:tcBorders>
              <w:bottom w:val="nil"/>
            </w:tcBorders>
            <w:shd w:val="clear" w:color="auto" w:fill="C0C0C0"/>
            <w:vAlign w:val="top"/>
          </w:tcPr>
          <w:p w14:paraId="208B3A1B">
            <w:pPr>
              <w:spacing w:line="298" w:lineRule="auto"/>
              <w:rPr>
                <w:rFonts w:ascii="Arial"/>
                <w:color w:val="auto"/>
                <w:sz w:val="21"/>
              </w:rPr>
            </w:pPr>
          </w:p>
          <w:p w14:paraId="5A1D24B0">
            <w:pPr>
              <w:pStyle w:val="8"/>
              <w:spacing w:before="72" w:line="249" w:lineRule="auto"/>
              <w:ind w:left="581" w:right="133" w:hanging="438"/>
              <w:rPr>
                <w:color w:val="auto"/>
              </w:rPr>
            </w:pPr>
            <w:r>
              <w:rPr>
                <w:color w:val="auto"/>
                <w:spacing w:val="-2"/>
              </w:rPr>
              <w:t>本年支出合</w:t>
            </w:r>
            <w:r>
              <w:rPr>
                <w:color w:val="auto"/>
                <w:spacing w:val="1"/>
              </w:rPr>
              <w:t xml:space="preserve"> </w:t>
            </w:r>
            <w:r>
              <w:rPr>
                <w:color w:val="auto"/>
              </w:rPr>
              <w:t>计</w:t>
            </w:r>
          </w:p>
        </w:tc>
        <w:tc>
          <w:tcPr>
            <w:tcW w:w="1427" w:type="dxa"/>
            <w:vMerge w:val="restart"/>
            <w:tcBorders>
              <w:bottom w:val="nil"/>
            </w:tcBorders>
            <w:shd w:val="clear" w:color="auto" w:fill="C0C0C0"/>
            <w:vAlign w:val="top"/>
          </w:tcPr>
          <w:p w14:paraId="6A4D78FC">
            <w:pPr>
              <w:spacing w:line="454" w:lineRule="auto"/>
              <w:rPr>
                <w:rFonts w:ascii="Arial"/>
                <w:color w:val="auto"/>
                <w:sz w:val="21"/>
              </w:rPr>
            </w:pPr>
          </w:p>
          <w:p w14:paraId="7C68CE82">
            <w:pPr>
              <w:pStyle w:val="8"/>
              <w:spacing w:before="71" w:line="219" w:lineRule="auto"/>
              <w:ind w:left="280"/>
              <w:rPr>
                <w:color w:val="auto"/>
              </w:rPr>
            </w:pPr>
            <w:r>
              <w:rPr>
                <w:color w:val="auto"/>
                <w:spacing w:val="-2"/>
              </w:rPr>
              <w:t>基本支出</w:t>
            </w:r>
          </w:p>
        </w:tc>
        <w:tc>
          <w:tcPr>
            <w:tcW w:w="1090" w:type="dxa"/>
            <w:vMerge w:val="restart"/>
            <w:tcBorders>
              <w:bottom w:val="nil"/>
            </w:tcBorders>
            <w:shd w:val="clear" w:color="auto" w:fill="C0C0C0"/>
            <w:vAlign w:val="top"/>
          </w:tcPr>
          <w:p w14:paraId="12A09010">
            <w:pPr>
              <w:spacing w:line="299" w:lineRule="auto"/>
              <w:rPr>
                <w:rFonts w:ascii="Arial"/>
                <w:color w:val="auto"/>
                <w:sz w:val="21"/>
              </w:rPr>
            </w:pPr>
          </w:p>
          <w:p w14:paraId="6676CAA1">
            <w:pPr>
              <w:pStyle w:val="8"/>
              <w:spacing w:before="71" w:line="250" w:lineRule="auto"/>
              <w:ind w:left="460" w:right="212" w:hanging="236"/>
              <w:rPr>
                <w:color w:val="auto"/>
              </w:rPr>
            </w:pPr>
            <w:r>
              <w:rPr>
                <w:color w:val="auto"/>
                <w:spacing w:val="-4"/>
              </w:rPr>
              <w:t>项目支</w:t>
            </w:r>
            <w:r>
              <w:rPr>
                <w:color w:val="auto"/>
              </w:rPr>
              <w:t xml:space="preserve"> 出</w:t>
            </w:r>
          </w:p>
        </w:tc>
        <w:tc>
          <w:tcPr>
            <w:tcW w:w="891" w:type="dxa"/>
            <w:vMerge w:val="restart"/>
            <w:tcBorders>
              <w:bottom w:val="nil"/>
            </w:tcBorders>
            <w:shd w:val="clear" w:color="auto" w:fill="C0C0C0"/>
            <w:vAlign w:val="top"/>
          </w:tcPr>
          <w:p w14:paraId="13C62C8B">
            <w:pPr>
              <w:spacing w:line="298" w:lineRule="auto"/>
              <w:rPr>
                <w:rFonts w:ascii="Arial"/>
                <w:color w:val="auto"/>
                <w:sz w:val="21"/>
              </w:rPr>
            </w:pPr>
          </w:p>
          <w:p w14:paraId="507B02AB">
            <w:pPr>
              <w:pStyle w:val="8"/>
              <w:spacing w:before="71" w:line="249" w:lineRule="auto"/>
              <w:ind w:left="125" w:right="112" w:hanging="1"/>
              <w:rPr>
                <w:color w:val="auto"/>
              </w:rPr>
            </w:pPr>
            <w:r>
              <w:rPr>
                <w:color w:val="auto"/>
                <w:spacing w:val="-4"/>
              </w:rPr>
              <w:t>上缴上</w:t>
            </w:r>
            <w:r>
              <w:rPr>
                <w:color w:val="auto"/>
              </w:rPr>
              <w:t xml:space="preserve"> </w:t>
            </w:r>
            <w:r>
              <w:rPr>
                <w:color w:val="auto"/>
                <w:spacing w:val="-4"/>
              </w:rPr>
              <w:t>级支出</w:t>
            </w:r>
          </w:p>
        </w:tc>
        <w:tc>
          <w:tcPr>
            <w:tcW w:w="768" w:type="dxa"/>
            <w:vMerge w:val="restart"/>
            <w:tcBorders>
              <w:bottom w:val="nil"/>
            </w:tcBorders>
            <w:shd w:val="clear" w:color="auto" w:fill="C0C0C0"/>
            <w:vAlign w:val="top"/>
          </w:tcPr>
          <w:p w14:paraId="41FA201F">
            <w:pPr>
              <w:spacing w:line="298" w:lineRule="auto"/>
              <w:rPr>
                <w:rFonts w:ascii="Arial"/>
                <w:color w:val="auto"/>
                <w:sz w:val="21"/>
              </w:rPr>
            </w:pPr>
          </w:p>
          <w:p w14:paraId="14E4AA64">
            <w:pPr>
              <w:pStyle w:val="8"/>
              <w:spacing w:before="71" w:line="249" w:lineRule="auto"/>
              <w:ind w:left="173" w:right="157"/>
              <w:rPr>
                <w:color w:val="auto"/>
              </w:rPr>
            </w:pPr>
            <w:r>
              <w:rPr>
                <w:color w:val="auto"/>
                <w:spacing w:val="-5"/>
              </w:rPr>
              <w:t>经营</w:t>
            </w:r>
            <w:r>
              <w:rPr>
                <w:color w:val="auto"/>
              </w:rPr>
              <w:t xml:space="preserve"> </w:t>
            </w:r>
            <w:r>
              <w:rPr>
                <w:color w:val="auto"/>
                <w:spacing w:val="-4"/>
              </w:rPr>
              <w:t>支出</w:t>
            </w:r>
          </w:p>
        </w:tc>
        <w:tc>
          <w:tcPr>
            <w:tcW w:w="1172" w:type="dxa"/>
            <w:vMerge w:val="restart"/>
            <w:tcBorders>
              <w:bottom w:val="nil"/>
            </w:tcBorders>
            <w:shd w:val="clear" w:color="auto" w:fill="C0C0C0"/>
            <w:vAlign w:val="top"/>
          </w:tcPr>
          <w:p w14:paraId="3C028D9C">
            <w:pPr>
              <w:pStyle w:val="8"/>
              <w:spacing w:before="216" w:line="219" w:lineRule="auto"/>
              <w:ind w:left="152"/>
              <w:rPr>
                <w:color w:val="auto"/>
              </w:rPr>
            </w:pPr>
            <w:r>
              <w:rPr>
                <w:color w:val="auto"/>
                <w:spacing w:val="-2"/>
              </w:rPr>
              <w:t>对附属单</w:t>
            </w:r>
          </w:p>
          <w:p w14:paraId="0AEE9CA6">
            <w:pPr>
              <w:pStyle w:val="8"/>
              <w:spacing w:before="50" w:line="221" w:lineRule="auto"/>
              <w:ind w:left="153"/>
              <w:rPr>
                <w:color w:val="auto"/>
              </w:rPr>
            </w:pPr>
            <w:r>
              <w:rPr>
                <w:color w:val="auto"/>
                <w:spacing w:val="-2"/>
              </w:rPr>
              <w:t>位补助支</w:t>
            </w:r>
          </w:p>
          <w:p w14:paraId="0FC5A795">
            <w:pPr>
              <w:pStyle w:val="8"/>
              <w:spacing w:before="48" w:line="224" w:lineRule="auto"/>
              <w:ind w:left="500"/>
              <w:rPr>
                <w:color w:val="auto"/>
              </w:rPr>
            </w:pPr>
            <w:r>
              <w:rPr>
                <w:color w:val="auto"/>
              </w:rPr>
              <w:t>出</w:t>
            </w:r>
          </w:p>
        </w:tc>
      </w:tr>
      <w:tr w14:paraId="2ABB1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390" w:type="dxa"/>
            <w:shd w:val="clear" w:color="auto" w:fill="C0C0C0"/>
            <w:vAlign w:val="top"/>
          </w:tcPr>
          <w:p w14:paraId="370EFD5B">
            <w:pPr>
              <w:spacing w:line="290" w:lineRule="auto"/>
              <w:rPr>
                <w:rFonts w:ascii="Arial"/>
                <w:color w:val="auto"/>
                <w:sz w:val="21"/>
              </w:rPr>
            </w:pPr>
          </w:p>
          <w:p w14:paraId="50D26F63">
            <w:pPr>
              <w:pStyle w:val="8"/>
              <w:spacing w:before="71" w:line="219" w:lineRule="auto"/>
              <w:ind w:left="260"/>
              <w:rPr>
                <w:color w:val="auto"/>
              </w:rPr>
            </w:pPr>
            <w:r>
              <w:rPr>
                <w:color w:val="auto"/>
                <w:spacing w:val="-2"/>
              </w:rPr>
              <w:t>科目代码</w:t>
            </w:r>
          </w:p>
        </w:tc>
        <w:tc>
          <w:tcPr>
            <w:tcW w:w="2787" w:type="dxa"/>
            <w:shd w:val="clear" w:color="auto" w:fill="C0C0C0"/>
            <w:vAlign w:val="top"/>
          </w:tcPr>
          <w:p w14:paraId="2264C088">
            <w:pPr>
              <w:spacing w:line="290" w:lineRule="auto"/>
              <w:rPr>
                <w:rFonts w:ascii="Arial"/>
                <w:color w:val="auto"/>
                <w:sz w:val="21"/>
              </w:rPr>
            </w:pPr>
          </w:p>
          <w:p w14:paraId="06DAC0A1">
            <w:pPr>
              <w:pStyle w:val="8"/>
              <w:spacing w:before="71" w:line="219" w:lineRule="auto"/>
              <w:ind w:left="958"/>
              <w:rPr>
                <w:color w:val="auto"/>
              </w:rPr>
            </w:pPr>
            <w:r>
              <w:rPr>
                <w:color w:val="auto"/>
                <w:spacing w:val="-2"/>
              </w:rPr>
              <w:t>科目名称</w:t>
            </w:r>
          </w:p>
        </w:tc>
        <w:tc>
          <w:tcPr>
            <w:tcW w:w="1374" w:type="dxa"/>
            <w:vMerge w:val="continue"/>
            <w:tcBorders>
              <w:top w:val="nil"/>
            </w:tcBorders>
            <w:vAlign w:val="top"/>
          </w:tcPr>
          <w:p w14:paraId="3CE34556">
            <w:pPr>
              <w:rPr>
                <w:rFonts w:ascii="Arial"/>
                <w:color w:val="auto"/>
                <w:sz w:val="21"/>
              </w:rPr>
            </w:pPr>
          </w:p>
        </w:tc>
        <w:tc>
          <w:tcPr>
            <w:tcW w:w="1427" w:type="dxa"/>
            <w:vMerge w:val="continue"/>
            <w:tcBorders>
              <w:top w:val="nil"/>
            </w:tcBorders>
            <w:vAlign w:val="top"/>
          </w:tcPr>
          <w:p w14:paraId="0FFD5F9D">
            <w:pPr>
              <w:rPr>
                <w:rFonts w:ascii="Arial"/>
                <w:color w:val="auto"/>
                <w:sz w:val="21"/>
              </w:rPr>
            </w:pPr>
          </w:p>
        </w:tc>
        <w:tc>
          <w:tcPr>
            <w:tcW w:w="1090" w:type="dxa"/>
            <w:vMerge w:val="continue"/>
            <w:tcBorders>
              <w:top w:val="nil"/>
            </w:tcBorders>
            <w:vAlign w:val="top"/>
          </w:tcPr>
          <w:p w14:paraId="7A407D87">
            <w:pPr>
              <w:rPr>
                <w:rFonts w:ascii="Arial"/>
                <w:color w:val="auto"/>
                <w:sz w:val="21"/>
              </w:rPr>
            </w:pPr>
          </w:p>
        </w:tc>
        <w:tc>
          <w:tcPr>
            <w:tcW w:w="891" w:type="dxa"/>
            <w:vMerge w:val="continue"/>
            <w:tcBorders>
              <w:top w:val="nil"/>
            </w:tcBorders>
            <w:vAlign w:val="top"/>
          </w:tcPr>
          <w:p w14:paraId="6F769562">
            <w:pPr>
              <w:rPr>
                <w:rFonts w:ascii="Arial"/>
                <w:color w:val="auto"/>
                <w:sz w:val="21"/>
              </w:rPr>
            </w:pPr>
          </w:p>
        </w:tc>
        <w:tc>
          <w:tcPr>
            <w:tcW w:w="768" w:type="dxa"/>
            <w:vMerge w:val="continue"/>
            <w:tcBorders>
              <w:top w:val="nil"/>
            </w:tcBorders>
            <w:vAlign w:val="top"/>
          </w:tcPr>
          <w:p w14:paraId="2CBC8BC2">
            <w:pPr>
              <w:rPr>
                <w:rFonts w:ascii="Arial"/>
                <w:color w:val="auto"/>
                <w:sz w:val="21"/>
              </w:rPr>
            </w:pPr>
          </w:p>
        </w:tc>
        <w:tc>
          <w:tcPr>
            <w:tcW w:w="1172" w:type="dxa"/>
            <w:vMerge w:val="continue"/>
            <w:tcBorders>
              <w:top w:val="nil"/>
            </w:tcBorders>
            <w:vAlign w:val="top"/>
          </w:tcPr>
          <w:p w14:paraId="3313B9BD">
            <w:pPr>
              <w:rPr>
                <w:rFonts w:ascii="Arial"/>
                <w:color w:val="auto"/>
                <w:sz w:val="21"/>
              </w:rPr>
            </w:pPr>
          </w:p>
        </w:tc>
      </w:tr>
      <w:tr w14:paraId="0DBF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77" w:type="dxa"/>
            <w:gridSpan w:val="2"/>
            <w:shd w:val="clear" w:color="auto" w:fill="C0C0C0"/>
            <w:vAlign w:val="top"/>
          </w:tcPr>
          <w:p w14:paraId="7D90F529">
            <w:pPr>
              <w:pStyle w:val="8"/>
              <w:spacing w:before="48" w:line="216" w:lineRule="auto"/>
              <w:ind w:left="1876"/>
              <w:rPr>
                <w:color w:val="auto"/>
              </w:rPr>
            </w:pPr>
            <w:r>
              <w:rPr>
                <w:color w:val="auto"/>
                <w:spacing w:val="-4"/>
              </w:rPr>
              <w:t>栏次</w:t>
            </w:r>
          </w:p>
        </w:tc>
        <w:tc>
          <w:tcPr>
            <w:tcW w:w="1374" w:type="dxa"/>
            <w:shd w:val="clear" w:color="auto" w:fill="C0C0C0"/>
            <w:vAlign w:val="top"/>
          </w:tcPr>
          <w:p w14:paraId="193E024F">
            <w:pPr>
              <w:pStyle w:val="8"/>
              <w:spacing w:before="82" w:line="184" w:lineRule="auto"/>
              <w:ind w:left="652"/>
              <w:rPr>
                <w:color w:val="auto"/>
              </w:rPr>
            </w:pPr>
            <w:r>
              <w:rPr>
                <w:color w:val="auto"/>
              </w:rPr>
              <w:t>1</w:t>
            </w:r>
          </w:p>
        </w:tc>
        <w:tc>
          <w:tcPr>
            <w:tcW w:w="1427" w:type="dxa"/>
            <w:shd w:val="clear" w:color="auto" w:fill="C0C0C0"/>
            <w:vAlign w:val="top"/>
          </w:tcPr>
          <w:p w14:paraId="6B4124C5">
            <w:pPr>
              <w:pStyle w:val="8"/>
              <w:spacing w:before="82" w:line="184" w:lineRule="auto"/>
              <w:ind w:left="666"/>
              <w:rPr>
                <w:color w:val="auto"/>
              </w:rPr>
            </w:pPr>
            <w:r>
              <w:rPr>
                <w:color w:val="auto"/>
              </w:rPr>
              <w:t>2</w:t>
            </w:r>
          </w:p>
        </w:tc>
        <w:tc>
          <w:tcPr>
            <w:tcW w:w="1090" w:type="dxa"/>
            <w:shd w:val="clear" w:color="auto" w:fill="C0C0C0"/>
            <w:vAlign w:val="top"/>
          </w:tcPr>
          <w:p w14:paraId="4D23CC85">
            <w:pPr>
              <w:pStyle w:val="8"/>
              <w:spacing w:before="82" w:line="184" w:lineRule="auto"/>
              <w:ind w:left="501"/>
              <w:rPr>
                <w:color w:val="auto"/>
              </w:rPr>
            </w:pPr>
            <w:r>
              <w:rPr>
                <w:color w:val="auto"/>
              </w:rPr>
              <w:t>3</w:t>
            </w:r>
          </w:p>
        </w:tc>
        <w:tc>
          <w:tcPr>
            <w:tcW w:w="891" w:type="dxa"/>
            <w:shd w:val="clear" w:color="auto" w:fill="C0C0C0"/>
            <w:vAlign w:val="top"/>
          </w:tcPr>
          <w:p w14:paraId="11D8BC61">
            <w:pPr>
              <w:pStyle w:val="8"/>
              <w:spacing w:before="82" w:line="184" w:lineRule="auto"/>
              <w:ind w:left="397"/>
              <w:rPr>
                <w:color w:val="auto"/>
              </w:rPr>
            </w:pPr>
            <w:r>
              <w:rPr>
                <w:color w:val="auto"/>
              </w:rPr>
              <w:t>4</w:t>
            </w:r>
          </w:p>
        </w:tc>
        <w:tc>
          <w:tcPr>
            <w:tcW w:w="768" w:type="dxa"/>
            <w:shd w:val="clear" w:color="auto" w:fill="C0C0C0"/>
            <w:vAlign w:val="top"/>
          </w:tcPr>
          <w:p w14:paraId="6657E431">
            <w:pPr>
              <w:pStyle w:val="8"/>
              <w:spacing w:before="85" w:line="182" w:lineRule="auto"/>
              <w:ind w:left="342"/>
              <w:rPr>
                <w:color w:val="auto"/>
              </w:rPr>
            </w:pPr>
            <w:r>
              <w:rPr>
                <w:color w:val="auto"/>
              </w:rPr>
              <w:t>5</w:t>
            </w:r>
          </w:p>
        </w:tc>
        <w:tc>
          <w:tcPr>
            <w:tcW w:w="1172" w:type="dxa"/>
            <w:shd w:val="clear" w:color="auto" w:fill="C0C0C0"/>
            <w:vAlign w:val="top"/>
          </w:tcPr>
          <w:p w14:paraId="7762243C">
            <w:pPr>
              <w:pStyle w:val="8"/>
              <w:spacing w:before="82" w:line="184" w:lineRule="auto"/>
              <w:ind w:left="538"/>
              <w:rPr>
                <w:color w:val="auto"/>
              </w:rPr>
            </w:pPr>
            <w:r>
              <w:rPr>
                <w:color w:val="auto"/>
              </w:rPr>
              <w:t>6</w:t>
            </w:r>
          </w:p>
        </w:tc>
      </w:tr>
      <w:tr w14:paraId="52DB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177" w:type="dxa"/>
            <w:gridSpan w:val="2"/>
            <w:shd w:val="clear" w:color="auto" w:fill="C0C0C0"/>
            <w:vAlign w:val="center"/>
          </w:tcPr>
          <w:p w14:paraId="2DE013A8">
            <w:pPr>
              <w:keepNext w:val="0"/>
              <w:keepLines w:val="0"/>
              <w:widowControl/>
              <w:suppressLineNumbers w:val="0"/>
              <w:jc w:val="center"/>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合计</w:t>
            </w:r>
          </w:p>
        </w:tc>
        <w:tc>
          <w:tcPr>
            <w:tcW w:w="1374" w:type="dxa"/>
            <w:vAlign w:val="center"/>
          </w:tcPr>
          <w:p w14:paraId="09D3BB19">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2,093.08</w:t>
            </w:r>
          </w:p>
        </w:tc>
        <w:tc>
          <w:tcPr>
            <w:tcW w:w="1427" w:type="dxa"/>
            <w:vAlign w:val="center"/>
          </w:tcPr>
          <w:p w14:paraId="1CC93566">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1,580.50</w:t>
            </w:r>
          </w:p>
        </w:tc>
        <w:tc>
          <w:tcPr>
            <w:tcW w:w="1090" w:type="dxa"/>
            <w:vAlign w:val="center"/>
          </w:tcPr>
          <w:p w14:paraId="05841001">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512.59</w:t>
            </w:r>
          </w:p>
        </w:tc>
        <w:tc>
          <w:tcPr>
            <w:tcW w:w="891" w:type="dxa"/>
            <w:vAlign w:val="center"/>
          </w:tcPr>
          <w:p w14:paraId="535D85C1">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768" w:type="dxa"/>
            <w:vAlign w:val="center"/>
          </w:tcPr>
          <w:p w14:paraId="410A3E3D">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1172" w:type="dxa"/>
            <w:vAlign w:val="center"/>
          </w:tcPr>
          <w:p w14:paraId="6F3FF8A2">
            <w:pPr>
              <w:keepNext w:val="0"/>
              <w:keepLines w:val="0"/>
              <w:widowControl/>
              <w:suppressLineNumbers w:val="0"/>
              <w:jc w:val="right"/>
              <w:textAlignment w:val="center"/>
              <w:rPr>
                <w:color w:val="auto"/>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0AA9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1CE2FEAF">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w:t>
            </w:r>
          </w:p>
        </w:tc>
        <w:tc>
          <w:tcPr>
            <w:tcW w:w="2787" w:type="dxa"/>
            <w:vAlign w:val="center"/>
          </w:tcPr>
          <w:p w14:paraId="0CC6C10B">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374" w:type="dxa"/>
            <w:vAlign w:val="center"/>
          </w:tcPr>
          <w:p w14:paraId="62FAEF9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96.41</w:t>
            </w:r>
          </w:p>
        </w:tc>
        <w:tc>
          <w:tcPr>
            <w:tcW w:w="1427" w:type="dxa"/>
            <w:vAlign w:val="center"/>
          </w:tcPr>
          <w:p w14:paraId="52E75C17">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090" w:type="dxa"/>
            <w:vAlign w:val="center"/>
          </w:tcPr>
          <w:p w14:paraId="22EB60E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891" w:type="dxa"/>
            <w:vAlign w:val="center"/>
          </w:tcPr>
          <w:p w14:paraId="2AABAD3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6A0C208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2B47988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09AB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0" w:type="dxa"/>
            <w:vAlign w:val="center"/>
          </w:tcPr>
          <w:p w14:paraId="0D3EA8FE">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20103</w:t>
            </w:r>
          </w:p>
        </w:tc>
        <w:tc>
          <w:tcPr>
            <w:tcW w:w="2787" w:type="dxa"/>
            <w:vAlign w:val="center"/>
          </w:tcPr>
          <w:p w14:paraId="77A4D3A6">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政府办公厅（室）及相关机构事务</w:t>
            </w:r>
          </w:p>
        </w:tc>
        <w:tc>
          <w:tcPr>
            <w:tcW w:w="1374" w:type="dxa"/>
            <w:vAlign w:val="center"/>
          </w:tcPr>
          <w:p w14:paraId="25A6040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427" w:type="dxa"/>
            <w:vAlign w:val="center"/>
          </w:tcPr>
          <w:p w14:paraId="2FAFA20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090" w:type="dxa"/>
            <w:vAlign w:val="center"/>
          </w:tcPr>
          <w:p w14:paraId="7B95CF8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891" w:type="dxa"/>
            <w:vAlign w:val="center"/>
          </w:tcPr>
          <w:p w14:paraId="74F0D5A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7063CB4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7AED397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722F5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1F27F406">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2010301</w:t>
            </w:r>
          </w:p>
        </w:tc>
        <w:tc>
          <w:tcPr>
            <w:tcW w:w="2787" w:type="dxa"/>
            <w:vAlign w:val="center"/>
          </w:tcPr>
          <w:p w14:paraId="7643566A">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374" w:type="dxa"/>
            <w:vAlign w:val="center"/>
          </w:tcPr>
          <w:p w14:paraId="4CBA169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427" w:type="dxa"/>
            <w:vAlign w:val="center"/>
          </w:tcPr>
          <w:p w14:paraId="0874558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0.96</w:t>
            </w:r>
          </w:p>
        </w:tc>
        <w:tc>
          <w:tcPr>
            <w:tcW w:w="1090" w:type="dxa"/>
            <w:vAlign w:val="center"/>
          </w:tcPr>
          <w:p w14:paraId="1EBD2B2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891" w:type="dxa"/>
            <w:vAlign w:val="center"/>
          </w:tcPr>
          <w:p w14:paraId="40AC0EE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7B4F853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179E799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71B65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20D683FB">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20199</w:t>
            </w:r>
          </w:p>
        </w:tc>
        <w:tc>
          <w:tcPr>
            <w:tcW w:w="2787" w:type="dxa"/>
            <w:vAlign w:val="center"/>
          </w:tcPr>
          <w:p w14:paraId="5E8CA40C">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其他一般公共服务支出</w:t>
            </w:r>
          </w:p>
        </w:tc>
        <w:tc>
          <w:tcPr>
            <w:tcW w:w="1374" w:type="dxa"/>
            <w:vAlign w:val="center"/>
          </w:tcPr>
          <w:p w14:paraId="65BA1F0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1427" w:type="dxa"/>
            <w:vAlign w:val="center"/>
          </w:tcPr>
          <w:p w14:paraId="5933061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5D41ADD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891" w:type="dxa"/>
            <w:vAlign w:val="center"/>
          </w:tcPr>
          <w:p w14:paraId="750B56C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56030A8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1CA34CB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4D1D7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10004104">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2019999</w:t>
            </w:r>
          </w:p>
        </w:tc>
        <w:tc>
          <w:tcPr>
            <w:tcW w:w="2787" w:type="dxa"/>
            <w:vAlign w:val="center"/>
          </w:tcPr>
          <w:p w14:paraId="3A53BA2A">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其他一般公共服务支出</w:t>
            </w:r>
          </w:p>
        </w:tc>
        <w:tc>
          <w:tcPr>
            <w:tcW w:w="1374" w:type="dxa"/>
            <w:vAlign w:val="center"/>
          </w:tcPr>
          <w:p w14:paraId="33EA2AE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1427" w:type="dxa"/>
            <w:vAlign w:val="center"/>
          </w:tcPr>
          <w:p w14:paraId="5F721C2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6C0861B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95.45</w:t>
            </w:r>
          </w:p>
        </w:tc>
        <w:tc>
          <w:tcPr>
            <w:tcW w:w="891" w:type="dxa"/>
            <w:vAlign w:val="center"/>
          </w:tcPr>
          <w:p w14:paraId="6761931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5B033E5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7536900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407E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078B6733">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w:t>
            </w:r>
          </w:p>
        </w:tc>
        <w:tc>
          <w:tcPr>
            <w:tcW w:w="2787" w:type="dxa"/>
            <w:vAlign w:val="center"/>
          </w:tcPr>
          <w:p w14:paraId="17EB5385">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1374" w:type="dxa"/>
            <w:vAlign w:val="center"/>
          </w:tcPr>
          <w:p w14:paraId="433C195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1427" w:type="dxa"/>
            <w:vAlign w:val="center"/>
          </w:tcPr>
          <w:p w14:paraId="3D48775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3A47739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891" w:type="dxa"/>
            <w:vAlign w:val="center"/>
          </w:tcPr>
          <w:p w14:paraId="50F7F7DB">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5EEB9D2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0CB7FF9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2A75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4B0B6F06">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w:t>
            </w:r>
          </w:p>
        </w:tc>
        <w:tc>
          <w:tcPr>
            <w:tcW w:w="2787" w:type="dxa"/>
            <w:vAlign w:val="center"/>
          </w:tcPr>
          <w:p w14:paraId="672EC336">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林业和草原</w:t>
            </w:r>
          </w:p>
        </w:tc>
        <w:tc>
          <w:tcPr>
            <w:tcW w:w="1374" w:type="dxa"/>
            <w:vAlign w:val="center"/>
          </w:tcPr>
          <w:p w14:paraId="1289D1F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1427" w:type="dxa"/>
            <w:vAlign w:val="center"/>
          </w:tcPr>
          <w:p w14:paraId="3FB160E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6D31DF9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17.53</w:t>
            </w:r>
          </w:p>
        </w:tc>
        <w:tc>
          <w:tcPr>
            <w:tcW w:w="891" w:type="dxa"/>
            <w:vAlign w:val="center"/>
          </w:tcPr>
          <w:p w14:paraId="5BBC1E6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1345DE1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5972639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4FE1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59836E26">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2130202</w:t>
            </w:r>
          </w:p>
        </w:tc>
        <w:tc>
          <w:tcPr>
            <w:tcW w:w="2787" w:type="dxa"/>
            <w:vAlign w:val="center"/>
          </w:tcPr>
          <w:p w14:paraId="7E39AB6F">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一般行政管理事务</w:t>
            </w:r>
          </w:p>
        </w:tc>
        <w:tc>
          <w:tcPr>
            <w:tcW w:w="1374" w:type="dxa"/>
            <w:vAlign w:val="center"/>
          </w:tcPr>
          <w:p w14:paraId="7092430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1.00</w:t>
            </w:r>
          </w:p>
        </w:tc>
        <w:tc>
          <w:tcPr>
            <w:tcW w:w="1427" w:type="dxa"/>
            <w:vAlign w:val="center"/>
          </w:tcPr>
          <w:p w14:paraId="2A15DDA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4B557FF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1.00</w:t>
            </w:r>
          </w:p>
        </w:tc>
        <w:tc>
          <w:tcPr>
            <w:tcW w:w="891" w:type="dxa"/>
            <w:vAlign w:val="center"/>
          </w:tcPr>
          <w:p w14:paraId="0373424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7FC861B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39A364A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F819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0" w:type="dxa"/>
            <w:vAlign w:val="center"/>
          </w:tcPr>
          <w:p w14:paraId="7A130628">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2130207</w:t>
            </w:r>
          </w:p>
        </w:tc>
        <w:tc>
          <w:tcPr>
            <w:tcW w:w="2787" w:type="dxa"/>
            <w:vAlign w:val="center"/>
          </w:tcPr>
          <w:p w14:paraId="690444BE">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森林资源管理</w:t>
            </w:r>
          </w:p>
        </w:tc>
        <w:tc>
          <w:tcPr>
            <w:tcW w:w="1374" w:type="dxa"/>
            <w:vAlign w:val="center"/>
          </w:tcPr>
          <w:p w14:paraId="58F62B1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16.45</w:t>
            </w:r>
          </w:p>
        </w:tc>
        <w:tc>
          <w:tcPr>
            <w:tcW w:w="1427" w:type="dxa"/>
            <w:vAlign w:val="center"/>
          </w:tcPr>
          <w:p w14:paraId="2F46925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3D172E8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16.45</w:t>
            </w:r>
          </w:p>
        </w:tc>
        <w:tc>
          <w:tcPr>
            <w:tcW w:w="891" w:type="dxa"/>
            <w:vAlign w:val="center"/>
          </w:tcPr>
          <w:p w14:paraId="7889229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478E7C5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3481AD6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42FD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90" w:type="dxa"/>
            <w:vAlign w:val="center"/>
          </w:tcPr>
          <w:p w14:paraId="5A51CE8B">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2130209</w:t>
            </w:r>
          </w:p>
        </w:tc>
        <w:tc>
          <w:tcPr>
            <w:tcW w:w="2787" w:type="dxa"/>
            <w:vAlign w:val="center"/>
          </w:tcPr>
          <w:p w14:paraId="5903048B">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 xml:space="preserve">  森林生态效益补偿</w:t>
            </w:r>
          </w:p>
        </w:tc>
        <w:tc>
          <w:tcPr>
            <w:tcW w:w="1374" w:type="dxa"/>
            <w:vAlign w:val="center"/>
          </w:tcPr>
          <w:p w14:paraId="43295EA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0.08</w:t>
            </w:r>
          </w:p>
        </w:tc>
        <w:tc>
          <w:tcPr>
            <w:tcW w:w="1427" w:type="dxa"/>
            <w:vAlign w:val="center"/>
          </w:tcPr>
          <w:p w14:paraId="0B78E9A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0D79359F">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0.08</w:t>
            </w:r>
          </w:p>
        </w:tc>
        <w:tc>
          <w:tcPr>
            <w:tcW w:w="891" w:type="dxa"/>
            <w:vAlign w:val="center"/>
          </w:tcPr>
          <w:p w14:paraId="18DB52F0">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486D3853">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0CE38D1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5F449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584E9951">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220</w:t>
            </w:r>
          </w:p>
        </w:tc>
        <w:tc>
          <w:tcPr>
            <w:tcW w:w="2787" w:type="dxa"/>
            <w:vAlign w:val="center"/>
          </w:tcPr>
          <w:p w14:paraId="0EAFA13A">
            <w:pPr>
              <w:keepNext w:val="0"/>
              <w:keepLines w:val="0"/>
              <w:widowControl/>
              <w:suppressLineNumbers w:val="0"/>
              <w:jc w:val="lef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自然资源海洋气象等支出</w:t>
            </w:r>
          </w:p>
        </w:tc>
        <w:tc>
          <w:tcPr>
            <w:tcW w:w="1374" w:type="dxa"/>
            <w:vAlign w:val="center"/>
          </w:tcPr>
          <w:p w14:paraId="36686418">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1,959.15</w:t>
            </w:r>
          </w:p>
        </w:tc>
        <w:tc>
          <w:tcPr>
            <w:tcW w:w="1427" w:type="dxa"/>
            <w:vAlign w:val="center"/>
          </w:tcPr>
          <w:p w14:paraId="60BA265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1,579.54</w:t>
            </w:r>
          </w:p>
        </w:tc>
        <w:tc>
          <w:tcPr>
            <w:tcW w:w="1090" w:type="dxa"/>
            <w:vAlign w:val="center"/>
          </w:tcPr>
          <w:p w14:paraId="30B5DA0D">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379.61</w:t>
            </w:r>
          </w:p>
        </w:tc>
        <w:tc>
          <w:tcPr>
            <w:tcW w:w="891" w:type="dxa"/>
            <w:vAlign w:val="center"/>
          </w:tcPr>
          <w:p w14:paraId="57B7868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5C532935">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0C65C9EA">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r w14:paraId="1C6F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02852B5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w:t>
            </w:r>
          </w:p>
        </w:tc>
        <w:tc>
          <w:tcPr>
            <w:tcW w:w="2787" w:type="dxa"/>
            <w:vAlign w:val="center"/>
          </w:tcPr>
          <w:p w14:paraId="0A5DE12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自然资源事务</w:t>
            </w:r>
          </w:p>
        </w:tc>
        <w:tc>
          <w:tcPr>
            <w:tcW w:w="1374" w:type="dxa"/>
            <w:vAlign w:val="center"/>
          </w:tcPr>
          <w:p w14:paraId="5CB949A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1,959.15</w:t>
            </w:r>
          </w:p>
        </w:tc>
        <w:tc>
          <w:tcPr>
            <w:tcW w:w="1427" w:type="dxa"/>
            <w:vAlign w:val="center"/>
          </w:tcPr>
          <w:p w14:paraId="4DEA3A5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1,579.54</w:t>
            </w:r>
          </w:p>
        </w:tc>
        <w:tc>
          <w:tcPr>
            <w:tcW w:w="1090" w:type="dxa"/>
            <w:vAlign w:val="center"/>
          </w:tcPr>
          <w:p w14:paraId="0CEF055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379.61</w:t>
            </w:r>
          </w:p>
        </w:tc>
        <w:tc>
          <w:tcPr>
            <w:tcW w:w="891" w:type="dxa"/>
            <w:vAlign w:val="center"/>
          </w:tcPr>
          <w:p w14:paraId="67B8662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21824E8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4E3CFA9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4515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5281CE6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2200101</w:t>
            </w:r>
          </w:p>
        </w:tc>
        <w:tc>
          <w:tcPr>
            <w:tcW w:w="2787" w:type="dxa"/>
            <w:vAlign w:val="center"/>
          </w:tcPr>
          <w:p w14:paraId="687E9E3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374" w:type="dxa"/>
            <w:vAlign w:val="center"/>
          </w:tcPr>
          <w:p w14:paraId="78DBE26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1,714.11</w:t>
            </w:r>
          </w:p>
        </w:tc>
        <w:tc>
          <w:tcPr>
            <w:tcW w:w="1427" w:type="dxa"/>
            <w:vAlign w:val="center"/>
          </w:tcPr>
          <w:p w14:paraId="67CA2D1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1,566.56</w:t>
            </w:r>
          </w:p>
        </w:tc>
        <w:tc>
          <w:tcPr>
            <w:tcW w:w="1090" w:type="dxa"/>
            <w:vAlign w:val="center"/>
          </w:tcPr>
          <w:p w14:paraId="06F67D7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147.55</w:t>
            </w:r>
          </w:p>
        </w:tc>
        <w:tc>
          <w:tcPr>
            <w:tcW w:w="891" w:type="dxa"/>
            <w:vAlign w:val="center"/>
          </w:tcPr>
          <w:p w14:paraId="24913C4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77C0C3D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2E447CF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0AFD5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2D0667F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2200102</w:t>
            </w:r>
          </w:p>
        </w:tc>
        <w:tc>
          <w:tcPr>
            <w:tcW w:w="2787" w:type="dxa"/>
            <w:vAlign w:val="center"/>
          </w:tcPr>
          <w:p w14:paraId="4F5BF1F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一般行政管理事务</w:t>
            </w:r>
          </w:p>
        </w:tc>
        <w:tc>
          <w:tcPr>
            <w:tcW w:w="1374" w:type="dxa"/>
            <w:vAlign w:val="center"/>
          </w:tcPr>
          <w:p w14:paraId="38015FA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166.29</w:t>
            </w:r>
          </w:p>
        </w:tc>
        <w:tc>
          <w:tcPr>
            <w:tcW w:w="1427" w:type="dxa"/>
            <w:vAlign w:val="center"/>
          </w:tcPr>
          <w:p w14:paraId="6E43F6E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12.98</w:t>
            </w:r>
          </w:p>
        </w:tc>
        <w:tc>
          <w:tcPr>
            <w:tcW w:w="1090" w:type="dxa"/>
            <w:vAlign w:val="center"/>
          </w:tcPr>
          <w:p w14:paraId="471684E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153.31</w:t>
            </w:r>
          </w:p>
        </w:tc>
        <w:tc>
          <w:tcPr>
            <w:tcW w:w="891" w:type="dxa"/>
            <w:vAlign w:val="center"/>
          </w:tcPr>
          <w:p w14:paraId="01F1CEC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17D3206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7CED890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24ABC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5A1255A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2200104</w:t>
            </w:r>
          </w:p>
        </w:tc>
        <w:tc>
          <w:tcPr>
            <w:tcW w:w="2787" w:type="dxa"/>
            <w:vAlign w:val="center"/>
          </w:tcPr>
          <w:p w14:paraId="7EC1D8F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自然资源规划及管理</w:t>
            </w:r>
          </w:p>
        </w:tc>
        <w:tc>
          <w:tcPr>
            <w:tcW w:w="1374" w:type="dxa"/>
            <w:vAlign w:val="center"/>
          </w:tcPr>
          <w:p w14:paraId="0A31362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1427" w:type="dxa"/>
            <w:vAlign w:val="center"/>
          </w:tcPr>
          <w:p w14:paraId="31D00F7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6774668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891" w:type="dxa"/>
            <w:vAlign w:val="center"/>
          </w:tcPr>
          <w:p w14:paraId="718B6F2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6BBAE3F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60673B4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22092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3944B09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2200199</w:t>
            </w:r>
          </w:p>
        </w:tc>
        <w:tc>
          <w:tcPr>
            <w:tcW w:w="2787" w:type="dxa"/>
            <w:vAlign w:val="center"/>
          </w:tcPr>
          <w:p w14:paraId="303E6C1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其他自然资源事务支出</w:t>
            </w:r>
          </w:p>
        </w:tc>
        <w:tc>
          <w:tcPr>
            <w:tcW w:w="1374" w:type="dxa"/>
            <w:vAlign w:val="center"/>
          </w:tcPr>
          <w:p w14:paraId="04A8BCF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38.75</w:t>
            </w:r>
          </w:p>
        </w:tc>
        <w:tc>
          <w:tcPr>
            <w:tcW w:w="1427" w:type="dxa"/>
            <w:vAlign w:val="center"/>
          </w:tcPr>
          <w:p w14:paraId="7A5BCA8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4440551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38.75</w:t>
            </w:r>
          </w:p>
        </w:tc>
        <w:tc>
          <w:tcPr>
            <w:tcW w:w="891" w:type="dxa"/>
            <w:vAlign w:val="center"/>
          </w:tcPr>
          <w:p w14:paraId="7740D4C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263D2CD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7C2449B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5F60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09C8FB3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2787" w:type="dxa"/>
            <w:vAlign w:val="center"/>
          </w:tcPr>
          <w:p w14:paraId="028E237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灾害防治及应急管理支出</w:t>
            </w:r>
          </w:p>
        </w:tc>
        <w:tc>
          <w:tcPr>
            <w:tcW w:w="1374" w:type="dxa"/>
            <w:vAlign w:val="center"/>
          </w:tcPr>
          <w:p w14:paraId="4411BB3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427" w:type="dxa"/>
            <w:vAlign w:val="center"/>
          </w:tcPr>
          <w:p w14:paraId="3BC318A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5A59D89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891" w:type="dxa"/>
            <w:vAlign w:val="center"/>
          </w:tcPr>
          <w:p w14:paraId="5C0C4C2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66104B4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1A481AE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145EA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3B82766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22406</w:t>
            </w:r>
          </w:p>
        </w:tc>
        <w:tc>
          <w:tcPr>
            <w:tcW w:w="2787" w:type="dxa"/>
            <w:vAlign w:val="center"/>
          </w:tcPr>
          <w:p w14:paraId="203C6A9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自然灾害防治</w:t>
            </w:r>
          </w:p>
        </w:tc>
        <w:tc>
          <w:tcPr>
            <w:tcW w:w="1374" w:type="dxa"/>
            <w:vAlign w:val="center"/>
          </w:tcPr>
          <w:p w14:paraId="470CEB2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427" w:type="dxa"/>
            <w:vAlign w:val="center"/>
          </w:tcPr>
          <w:p w14:paraId="098E0D2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1671AD2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891" w:type="dxa"/>
            <w:vAlign w:val="center"/>
          </w:tcPr>
          <w:p w14:paraId="20655E2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6B3FE93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5BA11C2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r w14:paraId="5D21C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90" w:type="dxa"/>
            <w:vAlign w:val="center"/>
          </w:tcPr>
          <w:p w14:paraId="7237FBE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2240601</w:t>
            </w:r>
          </w:p>
        </w:tc>
        <w:tc>
          <w:tcPr>
            <w:tcW w:w="2787" w:type="dxa"/>
            <w:vAlign w:val="center"/>
          </w:tcPr>
          <w:p w14:paraId="22B123B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地质灾害防治</w:t>
            </w:r>
          </w:p>
        </w:tc>
        <w:tc>
          <w:tcPr>
            <w:tcW w:w="1374" w:type="dxa"/>
            <w:vAlign w:val="center"/>
          </w:tcPr>
          <w:p w14:paraId="47FE68F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427" w:type="dxa"/>
            <w:vAlign w:val="center"/>
          </w:tcPr>
          <w:p w14:paraId="394ACA0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090" w:type="dxa"/>
            <w:vAlign w:val="center"/>
          </w:tcPr>
          <w:p w14:paraId="5318FE2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891" w:type="dxa"/>
            <w:vAlign w:val="center"/>
          </w:tcPr>
          <w:p w14:paraId="15DD505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768" w:type="dxa"/>
            <w:vAlign w:val="center"/>
          </w:tcPr>
          <w:p w14:paraId="53F1972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172" w:type="dxa"/>
            <w:vAlign w:val="center"/>
          </w:tcPr>
          <w:p w14:paraId="39C6120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r>
    </w:tbl>
    <w:p w14:paraId="5BD89DBD">
      <w:pPr>
        <w:spacing w:before="76" w:line="227" w:lineRule="auto"/>
        <w:ind w:left="734"/>
        <w:rPr>
          <w:rFonts w:ascii="宋体" w:hAnsi="宋体" w:eastAsia="宋体" w:cs="宋体"/>
          <w:color w:val="auto"/>
          <w:spacing w:val="7"/>
          <w:sz w:val="19"/>
          <w:szCs w:val="19"/>
        </w:rPr>
      </w:pPr>
    </w:p>
    <w:p w14:paraId="51A5F1F1">
      <w:pPr>
        <w:spacing w:before="76" w:line="227" w:lineRule="auto"/>
        <w:ind w:left="734"/>
        <w:rPr>
          <w:rFonts w:ascii="宋体" w:hAnsi="宋体" w:eastAsia="宋体" w:cs="宋体"/>
          <w:color w:val="auto"/>
          <w:spacing w:val="7"/>
          <w:sz w:val="19"/>
          <w:szCs w:val="19"/>
        </w:rPr>
      </w:pPr>
    </w:p>
    <w:p w14:paraId="08B91868">
      <w:pPr>
        <w:spacing w:before="76" w:line="227" w:lineRule="auto"/>
        <w:ind w:left="734"/>
        <w:rPr>
          <w:rFonts w:ascii="宋体" w:hAnsi="宋体" w:eastAsia="宋体" w:cs="宋体"/>
          <w:color w:val="auto"/>
          <w:spacing w:val="7"/>
          <w:sz w:val="19"/>
          <w:szCs w:val="19"/>
        </w:rPr>
      </w:pPr>
    </w:p>
    <w:p w14:paraId="61FF05DA">
      <w:pPr>
        <w:spacing w:before="76" w:line="227" w:lineRule="auto"/>
        <w:ind w:left="734"/>
        <w:rPr>
          <w:rFonts w:ascii="宋体" w:hAnsi="宋体" w:eastAsia="宋体" w:cs="宋体"/>
          <w:color w:val="auto"/>
          <w:spacing w:val="7"/>
          <w:sz w:val="19"/>
          <w:szCs w:val="19"/>
        </w:rPr>
      </w:pPr>
    </w:p>
    <w:p w14:paraId="37EF8C0E">
      <w:pPr>
        <w:spacing w:before="76" w:line="227" w:lineRule="auto"/>
        <w:ind w:left="734"/>
        <w:rPr>
          <w:rFonts w:ascii="宋体" w:hAnsi="宋体" w:eastAsia="宋体" w:cs="宋体"/>
          <w:color w:val="auto"/>
          <w:spacing w:val="7"/>
          <w:sz w:val="19"/>
          <w:szCs w:val="19"/>
        </w:rPr>
      </w:pPr>
    </w:p>
    <w:p w14:paraId="4AE74913">
      <w:pPr>
        <w:spacing w:before="76" w:line="227" w:lineRule="auto"/>
        <w:ind w:left="734"/>
        <w:rPr>
          <w:rFonts w:ascii="宋体" w:hAnsi="宋体" w:eastAsia="宋体" w:cs="宋体"/>
          <w:color w:val="auto"/>
          <w:spacing w:val="7"/>
          <w:sz w:val="19"/>
          <w:szCs w:val="19"/>
        </w:rPr>
      </w:pPr>
    </w:p>
    <w:p w14:paraId="1EEED153">
      <w:pPr>
        <w:spacing w:before="76" w:line="227" w:lineRule="auto"/>
        <w:ind w:left="734"/>
        <w:rPr>
          <w:rFonts w:ascii="宋体" w:hAnsi="宋体" w:eastAsia="宋体" w:cs="宋体"/>
          <w:color w:val="auto"/>
          <w:spacing w:val="7"/>
          <w:sz w:val="19"/>
          <w:szCs w:val="19"/>
        </w:rPr>
      </w:pPr>
    </w:p>
    <w:p w14:paraId="43DF5B87">
      <w:pPr>
        <w:spacing w:before="76" w:line="227" w:lineRule="auto"/>
        <w:ind w:left="734"/>
        <w:rPr>
          <w:rFonts w:ascii="宋体" w:hAnsi="宋体" w:eastAsia="宋体" w:cs="宋体"/>
          <w:color w:val="auto"/>
          <w:spacing w:val="7"/>
          <w:sz w:val="19"/>
          <w:szCs w:val="19"/>
        </w:rPr>
      </w:pPr>
    </w:p>
    <w:p w14:paraId="37CB87B4">
      <w:pPr>
        <w:spacing w:before="76" w:line="227" w:lineRule="auto"/>
        <w:ind w:left="734"/>
        <w:rPr>
          <w:rFonts w:ascii="宋体" w:hAnsi="宋体" w:eastAsia="宋体" w:cs="宋体"/>
          <w:color w:val="auto"/>
          <w:spacing w:val="7"/>
          <w:sz w:val="19"/>
          <w:szCs w:val="19"/>
        </w:rPr>
      </w:pPr>
    </w:p>
    <w:p w14:paraId="1FA3B223">
      <w:pPr>
        <w:spacing w:before="76" w:line="227" w:lineRule="auto"/>
        <w:ind w:left="734"/>
        <w:rPr>
          <w:rFonts w:ascii="宋体" w:hAnsi="宋体" w:eastAsia="宋体" w:cs="宋体"/>
          <w:color w:val="auto"/>
          <w:spacing w:val="7"/>
          <w:sz w:val="19"/>
          <w:szCs w:val="19"/>
        </w:rPr>
      </w:pPr>
    </w:p>
    <w:p w14:paraId="7466B883">
      <w:pPr>
        <w:spacing w:before="76" w:line="227" w:lineRule="auto"/>
        <w:ind w:left="734"/>
        <w:rPr>
          <w:rFonts w:ascii="宋体" w:hAnsi="宋体" w:eastAsia="宋体" w:cs="宋体"/>
          <w:color w:val="auto"/>
          <w:spacing w:val="7"/>
          <w:sz w:val="19"/>
          <w:szCs w:val="19"/>
        </w:rPr>
      </w:pPr>
    </w:p>
    <w:p w14:paraId="269BC087">
      <w:pPr>
        <w:spacing w:before="76" w:line="227" w:lineRule="auto"/>
        <w:ind w:left="734"/>
        <w:rPr>
          <w:rFonts w:ascii="宋体" w:hAnsi="宋体" w:eastAsia="宋体" w:cs="宋体"/>
          <w:color w:val="auto"/>
          <w:spacing w:val="7"/>
          <w:sz w:val="19"/>
          <w:szCs w:val="19"/>
        </w:rPr>
      </w:pPr>
    </w:p>
    <w:p w14:paraId="4C747D60">
      <w:pPr>
        <w:spacing w:before="76" w:line="227" w:lineRule="auto"/>
        <w:ind w:left="734"/>
        <w:rPr>
          <w:rFonts w:ascii="宋体" w:hAnsi="宋体" w:eastAsia="宋体" w:cs="宋体"/>
          <w:color w:val="auto"/>
          <w:spacing w:val="7"/>
          <w:sz w:val="19"/>
          <w:szCs w:val="19"/>
        </w:rPr>
      </w:pPr>
    </w:p>
    <w:p w14:paraId="6FED3111">
      <w:pPr>
        <w:spacing w:before="76" w:line="227" w:lineRule="auto"/>
        <w:ind w:left="734"/>
        <w:rPr>
          <w:rFonts w:ascii="宋体" w:hAnsi="宋体" w:eastAsia="宋体" w:cs="宋体"/>
          <w:color w:val="auto"/>
          <w:spacing w:val="7"/>
          <w:sz w:val="19"/>
          <w:szCs w:val="19"/>
        </w:rPr>
      </w:pPr>
    </w:p>
    <w:p w14:paraId="236CB1B8">
      <w:pPr>
        <w:spacing w:before="76" w:line="227" w:lineRule="auto"/>
        <w:ind w:left="734"/>
        <w:rPr>
          <w:rFonts w:ascii="宋体" w:hAnsi="宋体" w:eastAsia="宋体" w:cs="宋体"/>
          <w:color w:val="auto"/>
          <w:spacing w:val="7"/>
          <w:sz w:val="19"/>
          <w:szCs w:val="19"/>
        </w:rPr>
      </w:pPr>
    </w:p>
    <w:p w14:paraId="5D8A3CA9">
      <w:pPr>
        <w:spacing w:before="76" w:line="227" w:lineRule="auto"/>
        <w:ind w:left="734"/>
        <w:rPr>
          <w:rFonts w:ascii="宋体" w:hAnsi="宋体" w:eastAsia="宋体" w:cs="宋体"/>
          <w:color w:val="auto"/>
          <w:spacing w:val="7"/>
          <w:sz w:val="19"/>
          <w:szCs w:val="19"/>
        </w:rPr>
      </w:pPr>
    </w:p>
    <w:p w14:paraId="6D79AD69">
      <w:pPr>
        <w:spacing w:before="76" w:line="227" w:lineRule="auto"/>
        <w:ind w:left="734"/>
        <w:rPr>
          <w:rFonts w:ascii="宋体" w:hAnsi="宋体" w:eastAsia="宋体" w:cs="宋体"/>
          <w:color w:val="auto"/>
          <w:spacing w:val="7"/>
          <w:sz w:val="19"/>
          <w:szCs w:val="19"/>
        </w:rPr>
      </w:pPr>
    </w:p>
    <w:p w14:paraId="02E04562">
      <w:pPr>
        <w:spacing w:before="76" w:line="227" w:lineRule="auto"/>
        <w:ind w:left="734"/>
        <w:rPr>
          <w:rFonts w:ascii="宋体" w:hAnsi="宋体" w:eastAsia="宋体" w:cs="宋体"/>
          <w:color w:val="auto"/>
          <w:spacing w:val="7"/>
          <w:sz w:val="19"/>
          <w:szCs w:val="19"/>
        </w:rPr>
      </w:pPr>
    </w:p>
    <w:p w14:paraId="7E26090D">
      <w:pPr>
        <w:spacing w:before="76" w:line="227" w:lineRule="auto"/>
        <w:ind w:left="734"/>
        <w:rPr>
          <w:rFonts w:ascii="宋体" w:hAnsi="宋体" w:eastAsia="宋体" w:cs="宋体"/>
          <w:color w:val="auto"/>
          <w:spacing w:val="7"/>
          <w:sz w:val="19"/>
          <w:szCs w:val="19"/>
        </w:rPr>
      </w:pPr>
    </w:p>
    <w:p w14:paraId="4479197D">
      <w:pPr>
        <w:spacing w:before="76" w:line="227" w:lineRule="auto"/>
        <w:ind w:left="734"/>
        <w:rPr>
          <w:rFonts w:ascii="宋体" w:hAnsi="宋体" w:eastAsia="宋体" w:cs="宋体"/>
          <w:color w:val="auto"/>
          <w:spacing w:val="7"/>
          <w:sz w:val="19"/>
          <w:szCs w:val="19"/>
        </w:rPr>
      </w:pPr>
    </w:p>
    <w:p w14:paraId="71C7D6B4">
      <w:pPr>
        <w:spacing w:before="46" w:line="219" w:lineRule="auto"/>
        <w:ind w:left="121"/>
        <w:rPr>
          <w:rFonts w:ascii="宋体" w:hAnsi="宋体" w:eastAsia="宋体" w:cs="宋体"/>
          <w:color w:val="auto"/>
          <w:spacing w:val="-1"/>
          <w:sz w:val="22"/>
          <w:szCs w:val="22"/>
        </w:rPr>
      </w:pPr>
    </w:p>
    <w:p w14:paraId="169D7F3D">
      <w:pPr>
        <w:spacing w:before="46" w:line="219" w:lineRule="auto"/>
        <w:ind w:left="121" w:firstLine="436" w:firstLineChars="200"/>
        <w:rPr>
          <w:rFonts w:ascii="宋体" w:hAnsi="宋体" w:eastAsia="宋体" w:cs="宋体"/>
          <w:color w:val="auto"/>
          <w:spacing w:val="-1"/>
          <w:sz w:val="22"/>
          <w:szCs w:val="22"/>
        </w:rPr>
      </w:pPr>
    </w:p>
    <w:p w14:paraId="53D31764">
      <w:pPr>
        <w:spacing w:before="46" w:line="219" w:lineRule="auto"/>
        <w:ind w:left="121" w:firstLine="436" w:firstLineChars="200"/>
        <w:rPr>
          <w:rFonts w:ascii="宋体" w:hAnsi="宋体" w:eastAsia="宋体" w:cs="宋体"/>
          <w:color w:val="auto"/>
          <w:spacing w:val="-1"/>
          <w:sz w:val="22"/>
          <w:szCs w:val="22"/>
        </w:rPr>
      </w:pPr>
    </w:p>
    <w:p w14:paraId="2AC44D70">
      <w:pPr>
        <w:spacing w:before="46" w:line="219" w:lineRule="auto"/>
        <w:ind w:left="121" w:firstLine="436" w:firstLineChars="200"/>
        <w:rPr>
          <w:rFonts w:ascii="宋体" w:hAnsi="宋体" w:eastAsia="宋体" w:cs="宋体"/>
          <w:color w:val="auto"/>
          <w:spacing w:val="-1"/>
          <w:sz w:val="22"/>
          <w:szCs w:val="22"/>
        </w:rPr>
      </w:pPr>
    </w:p>
    <w:p w14:paraId="782062E3">
      <w:pPr>
        <w:spacing w:before="46" w:line="219" w:lineRule="auto"/>
        <w:ind w:left="121" w:firstLine="436" w:firstLineChars="200"/>
        <w:rPr>
          <w:rFonts w:ascii="宋体" w:hAnsi="宋体" w:eastAsia="宋体" w:cs="宋体"/>
          <w:color w:val="auto"/>
          <w:spacing w:val="-1"/>
          <w:sz w:val="22"/>
          <w:szCs w:val="22"/>
        </w:rPr>
      </w:pPr>
    </w:p>
    <w:p w14:paraId="727BE0F6">
      <w:pPr>
        <w:spacing w:before="46" w:line="219" w:lineRule="auto"/>
        <w:ind w:left="121" w:firstLine="436" w:firstLineChars="200"/>
        <w:rPr>
          <w:rFonts w:ascii="宋体" w:hAnsi="宋体" w:eastAsia="宋体" w:cs="宋体"/>
          <w:color w:val="auto"/>
          <w:spacing w:val="-1"/>
          <w:sz w:val="22"/>
          <w:szCs w:val="22"/>
        </w:rPr>
      </w:pPr>
    </w:p>
    <w:p w14:paraId="3E4D7017">
      <w:pPr>
        <w:spacing w:before="46" w:line="219" w:lineRule="auto"/>
        <w:ind w:left="121" w:firstLine="436" w:firstLineChars="200"/>
        <w:rPr>
          <w:rFonts w:ascii="宋体" w:hAnsi="宋体" w:eastAsia="宋体" w:cs="宋体"/>
          <w:color w:val="auto"/>
          <w:spacing w:val="-1"/>
          <w:sz w:val="22"/>
          <w:szCs w:val="22"/>
        </w:rPr>
      </w:pPr>
    </w:p>
    <w:p w14:paraId="710EFD91">
      <w:pPr>
        <w:spacing w:before="46" w:line="219" w:lineRule="auto"/>
        <w:ind w:left="121" w:firstLine="436" w:firstLineChars="200"/>
        <w:rPr>
          <w:rFonts w:ascii="宋体" w:hAnsi="宋体" w:eastAsia="宋体" w:cs="宋体"/>
          <w:color w:val="auto"/>
          <w:spacing w:val="-1"/>
          <w:sz w:val="22"/>
          <w:szCs w:val="22"/>
        </w:rPr>
      </w:pPr>
    </w:p>
    <w:p w14:paraId="304A1C20">
      <w:pPr>
        <w:spacing w:before="46" w:line="219" w:lineRule="auto"/>
        <w:ind w:left="121" w:firstLine="436" w:firstLineChars="200"/>
        <w:rPr>
          <w:rFonts w:ascii="宋体" w:hAnsi="宋体" w:eastAsia="宋体" w:cs="宋体"/>
          <w:color w:val="auto"/>
          <w:spacing w:val="-1"/>
          <w:sz w:val="22"/>
          <w:szCs w:val="22"/>
        </w:rPr>
      </w:pPr>
    </w:p>
    <w:p w14:paraId="307ADB13">
      <w:pPr>
        <w:spacing w:before="46" w:line="219" w:lineRule="auto"/>
        <w:ind w:left="121" w:firstLine="436" w:firstLineChars="200"/>
        <w:rPr>
          <w:rFonts w:ascii="宋体" w:hAnsi="宋体" w:eastAsia="宋体" w:cs="宋体"/>
          <w:color w:val="auto"/>
          <w:sz w:val="22"/>
          <w:szCs w:val="22"/>
        </w:rPr>
      </w:pPr>
      <w:r>
        <w:rPr>
          <w:rFonts w:ascii="宋体" w:hAnsi="宋体" w:eastAsia="宋体" w:cs="宋体"/>
          <w:color w:val="auto"/>
          <w:spacing w:val="-1"/>
          <w:sz w:val="22"/>
          <w:szCs w:val="22"/>
        </w:rPr>
        <w:t>注：本表反映部门本年度各项支出情况。</w:t>
      </w:r>
    </w:p>
    <w:p w14:paraId="3737C34D">
      <w:pPr>
        <w:spacing w:before="76" w:line="227" w:lineRule="auto"/>
        <w:ind w:left="734"/>
        <w:rPr>
          <w:rFonts w:ascii="宋体" w:hAnsi="宋体" w:eastAsia="宋体" w:cs="宋体"/>
          <w:color w:val="auto"/>
          <w:sz w:val="19"/>
          <w:szCs w:val="19"/>
        </w:rPr>
        <w:sectPr>
          <w:footerReference r:id="rId8" w:type="default"/>
          <w:pgSz w:w="11906" w:h="16839"/>
          <w:pgMar w:top="1011" w:right="210" w:bottom="1153" w:left="106" w:header="0" w:footer="994" w:gutter="0"/>
          <w:pgBorders>
            <w:top w:val="none" w:sz="0" w:space="0"/>
            <w:left w:val="none" w:sz="0" w:space="0"/>
            <w:bottom w:val="none" w:sz="0" w:space="0"/>
            <w:right w:val="none" w:sz="0" w:space="0"/>
          </w:pgBorders>
          <w:cols w:space="720" w:num="1"/>
        </w:sectPr>
      </w:pPr>
      <w:r>
        <w:rPr>
          <w:rFonts w:ascii="宋体" w:hAnsi="宋体" w:eastAsia="宋体" w:cs="宋体"/>
          <w:color w:val="auto"/>
          <w:spacing w:val="7"/>
          <w:sz w:val="19"/>
          <w:szCs w:val="19"/>
        </w:rPr>
        <w:t xml:space="preserve">  </w:t>
      </w:r>
    </w:p>
    <w:p w14:paraId="09E3AA38">
      <w:pPr>
        <w:spacing w:line="246" w:lineRule="auto"/>
        <w:rPr>
          <w:rFonts w:ascii="Arial"/>
          <w:color w:val="auto"/>
          <w:sz w:val="21"/>
        </w:rPr>
      </w:pPr>
    </w:p>
    <w:p w14:paraId="51E408D5">
      <w:pPr>
        <w:pStyle w:val="2"/>
        <w:spacing w:before="100" w:line="227" w:lineRule="auto"/>
        <w:ind w:left="691"/>
        <w:outlineLvl w:val="0"/>
        <w:rPr>
          <w:color w:val="auto"/>
        </w:rPr>
      </w:pPr>
      <w:r>
        <w:rPr>
          <w:color w:val="auto"/>
          <w:spacing w:val="7"/>
        </w:rPr>
        <w:t>四、财政拨款收入支出决算总表</w:t>
      </w:r>
    </w:p>
    <w:p w14:paraId="3F40B618">
      <w:pPr>
        <w:spacing w:before="149" w:line="219" w:lineRule="auto"/>
        <w:ind w:left="3" w:leftChars="0" w:hanging="3" w:firstLineChars="0"/>
        <w:jc w:val="center"/>
        <w:outlineLvl w:val="1"/>
        <w:rPr>
          <w:rFonts w:hint="default" w:ascii="宋体" w:hAnsi="宋体" w:eastAsia="宋体" w:cs="宋体"/>
          <w:color w:val="auto"/>
          <w:sz w:val="30"/>
          <w:szCs w:val="30"/>
          <w:lang w:val="en-US" w:eastAsia="zh-CN"/>
        </w:rPr>
      </w:pPr>
      <w:r>
        <w:rPr>
          <w:rFonts w:hint="eastAsia" w:ascii="宋体" w:hAnsi="宋体" w:eastAsia="宋体" w:cs="宋体"/>
          <w:color w:val="auto"/>
          <w:spacing w:val="-2"/>
          <w:sz w:val="30"/>
          <w:szCs w:val="30"/>
          <w:lang w:val="en-US" w:eastAsia="zh-CN"/>
        </w:rPr>
        <w:t xml:space="preserve">                    </w:t>
      </w:r>
      <w:r>
        <w:rPr>
          <w:rFonts w:ascii="宋体" w:hAnsi="宋体" w:eastAsia="宋体" w:cs="宋体"/>
          <w:color w:val="auto"/>
          <w:spacing w:val="-2"/>
          <w:sz w:val="30"/>
          <w:szCs w:val="30"/>
        </w:rPr>
        <w:t>财政拨款收入支出决算总表</w:t>
      </w:r>
      <w:r>
        <w:rPr>
          <w:rFonts w:hint="eastAsia" w:ascii="宋体" w:hAnsi="宋体" w:eastAsia="宋体" w:cs="宋体"/>
          <w:color w:val="auto"/>
          <w:spacing w:val="-2"/>
          <w:sz w:val="30"/>
          <w:szCs w:val="30"/>
          <w:lang w:val="en-US" w:eastAsia="zh-CN"/>
        </w:rPr>
        <w:t xml:space="preserve">   </w:t>
      </w:r>
      <w:r>
        <w:rPr>
          <w:rFonts w:hint="eastAsia" w:ascii="宋体" w:hAnsi="宋体" w:eastAsia="宋体" w:cs="宋体"/>
          <w:color w:val="auto"/>
          <w:spacing w:val="-2"/>
          <w:sz w:val="21"/>
          <w:szCs w:val="21"/>
          <w:lang w:val="en-US" w:eastAsia="zh-CN"/>
        </w:rPr>
        <w:t xml:space="preserve">                       公开 04 表</w:t>
      </w:r>
    </w:p>
    <w:p w14:paraId="762301F6">
      <w:pPr>
        <w:spacing w:before="242" w:line="227" w:lineRule="auto"/>
        <w:ind w:left="123"/>
        <w:rPr>
          <w:rFonts w:ascii="宋体" w:hAnsi="宋体" w:eastAsia="宋体" w:cs="宋体"/>
          <w:color w:val="auto"/>
          <w:sz w:val="19"/>
          <w:szCs w:val="19"/>
        </w:rPr>
      </w:pPr>
      <w:r>
        <w:rPr>
          <w:rFonts w:ascii="宋体" w:hAnsi="宋体" w:eastAsia="宋体" w:cs="宋体"/>
          <w:color w:val="auto"/>
          <w:spacing w:val="6"/>
          <w:sz w:val="19"/>
          <w:szCs w:val="19"/>
        </w:rPr>
        <w:t>部门：鄂州市自然资源和规划局鄂城分局                                                         金额单位：万元</w:t>
      </w:r>
    </w:p>
    <w:p w14:paraId="5E244EDC">
      <w:pPr>
        <w:spacing w:line="21" w:lineRule="exact"/>
        <w:rPr>
          <w:color w:val="auto"/>
        </w:rPr>
      </w:pPr>
    </w:p>
    <w:tbl>
      <w:tblPr>
        <w:tblStyle w:val="5"/>
        <w:tblpPr w:leftFromText="180" w:rightFromText="180" w:vertAnchor="text" w:horzAnchor="page" w:tblpX="539" w:tblpY="62"/>
        <w:tblOverlap w:val="never"/>
        <w:tblW w:w="11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3"/>
        <w:gridCol w:w="593"/>
        <w:gridCol w:w="959"/>
        <w:gridCol w:w="2895"/>
        <w:gridCol w:w="607"/>
        <w:gridCol w:w="876"/>
        <w:gridCol w:w="876"/>
        <w:gridCol w:w="821"/>
        <w:gridCol w:w="1065"/>
      </w:tblGrid>
      <w:tr w14:paraId="787E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24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14:paraId="63C9A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     入</w:t>
            </w:r>
          </w:p>
        </w:tc>
        <w:tc>
          <w:tcPr>
            <w:tcW w:w="7032" w:type="dxa"/>
            <w:gridSpan w:val="6"/>
            <w:tcBorders>
              <w:top w:val="single" w:color="000000" w:sz="4" w:space="0"/>
              <w:left w:val="nil"/>
              <w:bottom w:val="single" w:color="000000" w:sz="4" w:space="0"/>
              <w:right w:val="single" w:color="000000" w:sz="4" w:space="0"/>
            </w:tcBorders>
            <w:shd w:val="clear" w:color="FFFFFF" w:fill="C0C0C0"/>
            <w:vAlign w:val="center"/>
          </w:tcPr>
          <w:p w14:paraId="1C75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     出</w:t>
            </w:r>
          </w:p>
        </w:tc>
      </w:tr>
      <w:tr w14:paraId="4EE8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78" w:type="dxa"/>
            <w:vMerge w:val="restart"/>
            <w:tcBorders>
              <w:top w:val="nil"/>
              <w:left w:val="single" w:color="000000" w:sz="4" w:space="0"/>
              <w:bottom w:val="single" w:color="000000" w:sz="4" w:space="0"/>
              <w:right w:val="single" w:color="000000" w:sz="4" w:space="0"/>
            </w:tcBorders>
            <w:shd w:val="clear" w:color="FFFFFF" w:fill="C0C0C0"/>
            <w:vAlign w:val="center"/>
          </w:tcPr>
          <w:p w14:paraId="6F696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602" w:type="dxa"/>
            <w:vMerge w:val="restart"/>
            <w:tcBorders>
              <w:top w:val="nil"/>
              <w:left w:val="nil"/>
              <w:bottom w:val="single" w:color="000000" w:sz="4" w:space="0"/>
              <w:right w:val="single" w:color="000000" w:sz="4" w:space="0"/>
            </w:tcBorders>
            <w:shd w:val="clear" w:color="FFFFFF" w:fill="C0C0C0"/>
            <w:vAlign w:val="center"/>
          </w:tcPr>
          <w:p w14:paraId="33E62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行次</w:t>
            </w:r>
          </w:p>
        </w:tc>
        <w:tc>
          <w:tcPr>
            <w:tcW w:w="963" w:type="dxa"/>
            <w:vMerge w:val="restart"/>
            <w:tcBorders>
              <w:top w:val="nil"/>
              <w:left w:val="nil"/>
              <w:bottom w:val="single" w:color="000000" w:sz="4" w:space="0"/>
              <w:right w:val="single" w:color="000000" w:sz="4" w:space="0"/>
            </w:tcBorders>
            <w:shd w:val="clear" w:color="FFFFFF" w:fill="C0C0C0"/>
            <w:vAlign w:val="center"/>
          </w:tcPr>
          <w:p w14:paraId="08E65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w:t>
            </w:r>
          </w:p>
        </w:tc>
        <w:tc>
          <w:tcPr>
            <w:tcW w:w="3005" w:type="dxa"/>
            <w:vMerge w:val="restart"/>
            <w:tcBorders>
              <w:top w:val="nil"/>
              <w:left w:val="nil"/>
              <w:bottom w:val="single" w:color="000000" w:sz="4" w:space="0"/>
              <w:right w:val="single" w:color="000000" w:sz="4" w:space="0"/>
            </w:tcBorders>
            <w:shd w:val="clear" w:color="FFFFFF" w:fill="C0C0C0"/>
            <w:vAlign w:val="center"/>
          </w:tcPr>
          <w:p w14:paraId="2EA22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617" w:type="dxa"/>
            <w:vMerge w:val="restart"/>
            <w:tcBorders>
              <w:top w:val="nil"/>
              <w:left w:val="nil"/>
              <w:bottom w:val="single" w:color="000000" w:sz="4" w:space="0"/>
              <w:right w:val="single" w:color="000000" w:sz="4" w:space="0"/>
            </w:tcBorders>
            <w:shd w:val="clear" w:color="FFFFFF" w:fill="C0C0C0"/>
            <w:vAlign w:val="center"/>
          </w:tcPr>
          <w:p w14:paraId="17830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69714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858" w:type="dxa"/>
            <w:vMerge w:val="restart"/>
            <w:tcBorders>
              <w:top w:val="nil"/>
              <w:left w:val="nil"/>
              <w:bottom w:val="single" w:color="000000" w:sz="4" w:space="0"/>
              <w:right w:val="single" w:color="000000" w:sz="4" w:space="0"/>
            </w:tcBorders>
            <w:shd w:val="clear" w:color="FFFFFF" w:fill="C0C0C0"/>
            <w:vAlign w:val="center"/>
          </w:tcPr>
          <w:p w14:paraId="0308D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w:t>
            </w:r>
          </w:p>
        </w:tc>
        <w:tc>
          <w:tcPr>
            <w:tcW w:w="820" w:type="dxa"/>
            <w:vMerge w:val="restart"/>
            <w:tcBorders>
              <w:top w:val="nil"/>
              <w:left w:val="nil"/>
              <w:bottom w:val="single" w:color="000000" w:sz="4" w:space="0"/>
              <w:right w:val="single" w:color="000000" w:sz="4" w:space="0"/>
            </w:tcBorders>
            <w:shd w:val="clear" w:color="FFFFFF" w:fill="C0C0C0"/>
            <w:vAlign w:val="center"/>
          </w:tcPr>
          <w:p w14:paraId="143CF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政府性基金预算财政拨款</w:t>
            </w:r>
          </w:p>
        </w:tc>
        <w:tc>
          <w:tcPr>
            <w:tcW w:w="1063" w:type="dxa"/>
            <w:vMerge w:val="restart"/>
            <w:tcBorders>
              <w:top w:val="nil"/>
              <w:left w:val="nil"/>
              <w:bottom w:val="single" w:color="000000" w:sz="4" w:space="0"/>
              <w:right w:val="single" w:color="000000" w:sz="4" w:space="0"/>
            </w:tcBorders>
            <w:shd w:val="clear" w:color="FFFFFF" w:fill="C0C0C0"/>
            <w:vAlign w:val="center"/>
          </w:tcPr>
          <w:p w14:paraId="0827B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国有资本经营预算财政拨款</w:t>
            </w:r>
          </w:p>
        </w:tc>
      </w:tr>
      <w:tr w14:paraId="61B9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678" w:type="dxa"/>
            <w:vMerge w:val="continue"/>
            <w:tcBorders>
              <w:top w:val="nil"/>
              <w:left w:val="single" w:color="000000" w:sz="4" w:space="0"/>
              <w:bottom w:val="single" w:color="000000" w:sz="4" w:space="0"/>
              <w:right w:val="single" w:color="000000" w:sz="4" w:space="0"/>
            </w:tcBorders>
            <w:shd w:val="clear" w:color="FFFFFF" w:fill="C0C0C0"/>
            <w:vAlign w:val="center"/>
          </w:tcPr>
          <w:p w14:paraId="4DD23DA1">
            <w:pPr>
              <w:jc w:val="center"/>
              <w:rPr>
                <w:rFonts w:hint="eastAsia" w:ascii="宋体" w:hAnsi="宋体" w:eastAsia="宋体" w:cs="宋体"/>
                <w:i w:val="0"/>
                <w:iCs w:val="0"/>
                <w:color w:val="000000"/>
                <w:sz w:val="18"/>
                <w:szCs w:val="18"/>
                <w:u w:val="none"/>
              </w:rPr>
            </w:pPr>
          </w:p>
        </w:tc>
        <w:tc>
          <w:tcPr>
            <w:tcW w:w="602" w:type="dxa"/>
            <w:vMerge w:val="continue"/>
            <w:tcBorders>
              <w:top w:val="nil"/>
              <w:left w:val="nil"/>
              <w:bottom w:val="single" w:color="000000" w:sz="4" w:space="0"/>
              <w:right w:val="single" w:color="000000" w:sz="4" w:space="0"/>
            </w:tcBorders>
            <w:shd w:val="clear" w:color="FFFFFF" w:fill="C0C0C0"/>
            <w:vAlign w:val="center"/>
          </w:tcPr>
          <w:p w14:paraId="75E2F4B4">
            <w:pPr>
              <w:jc w:val="center"/>
              <w:rPr>
                <w:rFonts w:hint="eastAsia" w:ascii="宋体" w:hAnsi="宋体" w:eastAsia="宋体" w:cs="宋体"/>
                <w:i w:val="0"/>
                <w:iCs w:val="0"/>
                <w:color w:val="000000"/>
                <w:sz w:val="18"/>
                <w:szCs w:val="18"/>
                <w:u w:val="none"/>
              </w:rPr>
            </w:pPr>
          </w:p>
        </w:tc>
        <w:tc>
          <w:tcPr>
            <w:tcW w:w="963" w:type="dxa"/>
            <w:vMerge w:val="continue"/>
            <w:tcBorders>
              <w:top w:val="nil"/>
              <w:left w:val="nil"/>
              <w:bottom w:val="single" w:color="000000" w:sz="4" w:space="0"/>
              <w:right w:val="single" w:color="000000" w:sz="4" w:space="0"/>
            </w:tcBorders>
            <w:shd w:val="clear" w:color="FFFFFF" w:fill="C0C0C0"/>
            <w:vAlign w:val="center"/>
          </w:tcPr>
          <w:p w14:paraId="1BA9DB63">
            <w:pPr>
              <w:jc w:val="center"/>
              <w:rPr>
                <w:rFonts w:hint="eastAsia" w:ascii="宋体" w:hAnsi="宋体" w:eastAsia="宋体" w:cs="宋体"/>
                <w:i w:val="0"/>
                <w:iCs w:val="0"/>
                <w:color w:val="000000"/>
                <w:sz w:val="18"/>
                <w:szCs w:val="18"/>
                <w:u w:val="none"/>
              </w:rPr>
            </w:pPr>
          </w:p>
        </w:tc>
        <w:tc>
          <w:tcPr>
            <w:tcW w:w="3005" w:type="dxa"/>
            <w:vMerge w:val="continue"/>
            <w:tcBorders>
              <w:top w:val="nil"/>
              <w:left w:val="nil"/>
              <w:bottom w:val="single" w:color="000000" w:sz="4" w:space="0"/>
              <w:right w:val="single" w:color="000000" w:sz="4" w:space="0"/>
            </w:tcBorders>
            <w:shd w:val="clear" w:color="FFFFFF" w:fill="C0C0C0"/>
            <w:vAlign w:val="center"/>
          </w:tcPr>
          <w:p w14:paraId="68602A8D">
            <w:pPr>
              <w:jc w:val="center"/>
              <w:rPr>
                <w:rFonts w:hint="eastAsia" w:ascii="宋体" w:hAnsi="宋体" w:eastAsia="宋体" w:cs="宋体"/>
                <w:i w:val="0"/>
                <w:iCs w:val="0"/>
                <w:color w:val="000000"/>
                <w:sz w:val="18"/>
                <w:szCs w:val="18"/>
                <w:u w:val="none"/>
              </w:rPr>
            </w:pPr>
          </w:p>
        </w:tc>
        <w:tc>
          <w:tcPr>
            <w:tcW w:w="617" w:type="dxa"/>
            <w:vMerge w:val="continue"/>
            <w:tcBorders>
              <w:top w:val="nil"/>
              <w:left w:val="nil"/>
              <w:bottom w:val="single" w:color="000000" w:sz="4" w:space="0"/>
              <w:right w:val="single" w:color="000000" w:sz="4" w:space="0"/>
            </w:tcBorders>
            <w:shd w:val="clear" w:color="FFFFFF" w:fill="C0C0C0"/>
            <w:vAlign w:val="center"/>
          </w:tcPr>
          <w:p w14:paraId="06DF63C2">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11FDC886">
            <w:pPr>
              <w:jc w:val="center"/>
              <w:rPr>
                <w:rFonts w:hint="eastAsia" w:ascii="宋体" w:hAnsi="宋体" w:eastAsia="宋体" w:cs="宋体"/>
                <w:i w:val="0"/>
                <w:iCs w:val="0"/>
                <w:color w:val="000000"/>
                <w:sz w:val="18"/>
                <w:szCs w:val="18"/>
                <w:u w:val="none"/>
              </w:rPr>
            </w:pPr>
          </w:p>
        </w:tc>
        <w:tc>
          <w:tcPr>
            <w:tcW w:w="858" w:type="dxa"/>
            <w:vMerge w:val="continue"/>
            <w:tcBorders>
              <w:top w:val="nil"/>
              <w:left w:val="nil"/>
              <w:bottom w:val="single" w:color="000000" w:sz="4" w:space="0"/>
              <w:right w:val="single" w:color="000000" w:sz="4" w:space="0"/>
            </w:tcBorders>
            <w:shd w:val="clear" w:color="FFFFFF" w:fill="C0C0C0"/>
            <w:vAlign w:val="center"/>
          </w:tcPr>
          <w:p w14:paraId="618DCEEB">
            <w:pPr>
              <w:jc w:val="center"/>
              <w:rPr>
                <w:rFonts w:hint="eastAsia" w:ascii="宋体" w:hAnsi="宋体" w:eastAsia="宋体" w:cs="宋体"/>
                <w:i w:val="0"/>
                <w:iCs w:val="0"/>
                <w:color w:val="000000"/>
                <w:sz w:val="18"/>
                <w:szCs w:val="18"/>
                <w:u w:val="none"/>
              </w:rPr>
            </w:pPr>
          </w:p>
        </w:tc>
        <w:tc>
          <w:tcPr>
            <w:tcW w:w="820" w:type="dxa"/>
            <w:vMerge w:val="continue"/>
            <w:tcBorders>
              <w:top w:val="nil"/>
              <w:left w:val="nil"/>
              <w:bottom w:val="single" w:color="000000" w:sz="4" w:space="0"/>
              <w:right w:val="single" w:color="000000" w:sz="4" w:space="0"/>
            </w:tcBorders>
            <w:shd w:val="clear" w:color="FFFFFF" w:fill="C0C0C0"/>
            <w:vAlign w:val="center"/>
          </w:tcPr>
          <w:p w14:paraId="18A50108">
            <w:pPr>
              <w:jc w:val="center"/>
              <w:rPr>
                <w:rFonts w:hint="eastAsia" w:ascii="宋体" w:hAnsi="宋体" w:eastAsia="宋体" w:cs="宋体"/>
                <w:i w:val="0"/>
                <w:iCs w:val="0"/>
                <w:color w:val="000000"/>
                <w:sz w:val="18"/>
                <w:szCs w:val="18"/>
                <w:u w:val="none"/>
              </w:rPr>
            </w:pPr>
          </w:p>
        </w:tc>
        <w:tc>
          <w:tcPr>
            <w:tcW w:w="1063" w:type="dxa"/>
            <w:vMerge w:val="continue"/>
            <w:tcBorders>
              <w:top w:val="nil"/>
              <w:left w:val="nil"/>
              <w:bottom w:val="single" w:color="000000" w:sz="4" w:space="0"/>
              <w:right w:val="single" w:color="000000" w:sz="4" w:space="0"/>
            </w:tcBorders>
            <w:shd w:val="clear" w:color="FFFFFF" w:fill="C0C0C0"/>
            <w:vAlign w:val="center"/>
          </w:tcPr>
          <w:p w14:paraId="52BDE547">
            <w:pPr>
              <w:jc w:val="center"/>
              <w:rPr>
                <w:rFonts w:hint="eastAsia" w:ascii="宋体" w:hAnsi="宋体" w:eastAsia="宋体" w:cs="宋体"/>
                <w:i w:val="0"/>
                <w:iCs w:val="0"/>
                <w:color w:val="000000"/>
                <w:sz w:val="18"/>
                <w:szCs w:val="18"/>
                <w:u w:val="none"/>
              </w:rPr>
            </w:pPr>
          </w:p>
        </w:tc>
      </w:tr>
      <w:tr w14:paraId="09C8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4BE7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602" w:type="dxa"/>
            <w:tcBorders>
              <w:top w:val="nil"/>
              <w:left w:val="nil"/>
              <w:bottom w:val="single" w:color="000000" w:sz="4" w:space="0"/>
              <w:right w:val="single" w:color="000000" w:sz="4" w:space="0"/>
            </w:tcBorders>
            <w:shd w:val="clear" w:color="FFFFFF" w:fill="C0C0C0"/>
            <w:vAlign w:val="center"/>
          </w:tcPr>
          <w:p w14:paraId="2946B36C">
            <w:pPr>
              <w:jc w:val="center"/>
              <w:rPr>
                <w:rFonts w:hint="eastAsia" w:ascii="宋体" w:hAnsi="宋体" w:eastAsia="宋体" w:cs="宋体"/>
                <w:i w:val="0"/>
                <w:iCs w:val="0"/>
                <w:color w:val="000000"/>
                <w:sz w:val="18"/>
                <w:szCs w:val="18"/>
                <w:u w:val="none"/>
              </w:rPr>
            </w:pPr>
          </w:p>
        </w:tc>
        <w:tc>
          <w:tcPr>
            <w:tcW w:w="963" w:type="dxa"/>
            <w:tcBorders>
              <w:top w:val="nil"/>
              <w:left w:val="nil"/>
              <w:bottom w:val="single" w:color="000000" w:sz="4" w:space="0"/>
              <w:right w:val="single" w:color="000000" w:sz="4" w:space="0"/>
            </w:tcBorders>
            <w:shd w:val="clear" w:color="FFFFFF" w:fill="C0C0C0"/>
            <w:vAlign w:val="center"/>
          </w:tcPr>
          <w:p w14:paraId="45ED7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005" w:type="dxa"/>
            <w:tcBorders>
              <w:top w:val="nil"/>
              <w:left w:val="nil"/>
              <w:bottom w:val="single" w:color="000000" w:sz="4" w:space="0"/>
              <w:right w:val="single" w:color="000000" w:sz="4" w:space="0"/>
            </w:tcBorders>
            <w:shd w:val="clear" w:color="FFFFFF" w:fill="C0C0C0"/>
            <w:vAlign w:val="center"/>
          </w:tcPr>
          <w:p w14:paraId="72E34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14:paraId="6680186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FD14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14:paraId="6208C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14:paraId="71B7F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63" w:type="dxa"/>
            <w:tcBorders>
              <w:top w:val="nil"/>
              <w:left w:val="nil"/>
              <w:bottom w:val="single" w:color="000000" w:sz="4" w:space="0"/>
              <w:right w:val="single" w:color="000000" w:sz="4" w:space="0"/>
            </w:tcBorders>
            <w:shd w:val="clear" w:color="FFFFFF" w:fill="C0C0C0"/>
            <w:noWrap/>
            <w:vAlign w:val="center"/>
          </w:tcPr>
          <w:p w14:paraId="52404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r>
      <w:tr w14:paraId="12F0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66DAF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一、一般公共预算财政拨款</w:t>
            </w:r>
          </w:p>
        </w:tc>
        <w:tc>
          <w:tcPr>
            <w:tcW w:w="602" w:type="dxa"/>
            <w:tcBorders>
              <w:top w:val="nil"/>
              <w:left w:val="nil"/>
              <w:bottom w:val="single" w:color="000000" w:sz="4" w:space="0"/>
              <w:right w:val="single" w:color="000000" w:sz="4" w:space="0"/>
            </w:tcBorders>
            <w:shd w:val="clear" w:color="FFFFFF" w:fill="C0C0C0"/>
            <w:vAlign w:val="center"/>
          </w:tcPr>
          <w:p w14:paraId="7907D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63" w:type="dxa"/>
            <w:tcBorders>
              <w:top w:val="nil"/>
              <w:left w:val="nil"/>
              <w:bottom w:val="single" w:color="000000" w:sz="4" w:space="0"/>
              <w:right w:val="single" w:color="000000" w:sz="4" w:space="0"/>
            </w:tcBorders>
            <w:shd w:val="clear" w:color="auto" w:fill="auto"/>
            <w:vAlign w:val="center"/>
          </w:tcPr>
          <w:p w14:paraId="3DEFAF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3005" w:type="dxa"/>
            <w:tcBorders>
              <w:top w:val="nil"/>
              <w:left w:val="nil"/>
              <w:bottom w:val="single" w:color="000000" w:sz="4" w:space="0"/>
              <w:right w:val="single" w:color="000000" w:sz="4" w:space="0"/>
            </w:tcBorders>
            <w:shd w:val="clear" w:color="FFFFFF" w:fill="C0C0C0"/>
            <w:vAlign w:val="center"/>
          </w:tcPr>
          <w:p w14:paraId="78E11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14:paraId="39E16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666" w:type="dxa"/>
            <w:tcBorders>
              <w:top w:val="nil"/>
              <w:left w:val="nil"/>
              <w:bottom w:val="single" w:color="000000" w:sz="4" w:space="0"/>
              <w:right w:val="single" w:color="000000" w:sz="4" w:space="0"/>
            </w:tcBorders>
            <w:shd w:val="clear" w:color="auto" w:fill="auto"/>
            <w:noWrap/>
            <w:vAlign w:val="center"/>
          </w:tcPr>
          <w:p w14:paraId="15F85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95.45</w:t>
            </w:r>
          </w:p>
        </w:tc>
        <w:tc>
          <w:tcPr>
            <w:tcW w:w="858" w:type="dxa"/>
            <w:tcBorders>
              <w:top w:val="nil"/>
              <w:left w:val="nil"/>
              <w:bottom w:val="single" w:color="000000" w:sz="4" w:space="0"/>
              <w:right w:val="single" w:color="000000" w:sz="4" w:space="0"/>
            </w:tcBorders>
            <w:shd w:val="clear" w:color="auto" w:fill="auto"/>
            <w:noWrap/>
            <w:vAlign w:val="center"/>
          </w:tcPr>
          <w:p w14:paraId="565464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95.45</w:t>
            </w:r>
          </w:p>
        </w:tc>
        <w:tc>
          <w:tcPr>
            <w:tcW w:w="821" w:type="dxa"/>
            <w:tcBorders>
              <w:top w:val="nil"/>
              <w:left w:val="nil"/>
              <w:bottom w:val="single" w:color="000000" w:sz="4" w:space="0"/>
              <w:right w:val="single" w:color="000000" w:sz="4" w:space="0"/>
            </w:tcBorders>
            <w:shd w:val="clear" w:color="auto" w:fill="auto"/>
            <w:noWrap/>
            <w:vAlign w:val="center"/>
          </w:tcPr>
          <w:p w14:paraId="23B499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5B8B38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65C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79FA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二、政府性基金预算财政拨款</w:t>
            </w:r>
          </w:p>
        </w:tc>
        <w:tc>
          <w:tcPr>
            <w:tcW w:w="602" w:type="dxa"/>
            <w:tcBorders>
              <w:top w:val="nil"/>
              <w:left w:val="nil"/>
              <w:bottom w:val="single" w:color="000000" w:sz="4" w:space="0"/>
              <w:right w:val="single" w:color="000000" w:sz="4" w:space="0"/>
            </w:tcBorders>
            <w:shd w:val="clear" w:color="FFFFFF" w:fill="C0C0C0"/>
            <w:vAlign w:val="center"/>
          </w:tcPr>
          <w:p w14:paraId="4495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963" w:type="dxa"/>
            <w:tcBorders>
              <w:top w:val="nil"/>
              <w:left w:val="nil"/>
              <w:bottom w:val="single" w:color="000000" w:sz="4" w:space="0"/>
              <w:right w:val="single" w:color="000000" w:sz="4" w:space="0"/>
            </w:tcBorders>
            <w:shd w:val="clear" w:color="auto" w:fill="auto"/>
            <w:vAlign w:val="center"/>
          </w:tcPr>
          <w:p w14:paraId="7B57DC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05" w:type="dxa"/>
            <w:tcBorders>
              <w:top w:val="nil"/>
              <w:left w:val="nil"/>
              <w:bottom w:val="single" w:color="000000" w:sz="4" w:space="0"/>
              <w:right w:val="single" w:color="000000" w:sz="4" w:space="0"/>
            </w:tcBorders>
            <w:shd w:val="clear" w:color="FFFFFF" w:fill="C0C0C0"/>
            <w:vAlign w:val="center"/>
          </w:tcPr>
          <w:p w14:paraId="536B3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14:paraId="14FCF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666" w:type="dxa"/>
            <w:tcBorders>
              <w:top w:val="nil"/>
              <w:left w:val="nil"/>
              <w:bottom w:val="single" w:color="000000" w:sz="4" w:space="0"/>
              <w:right w:val="single" w:color="000000" w:sz="4" w:space="0"/>
            </w:tcBorders>
            <w:shd w:val="clear" w:color="auto" w:fill="auto"/>
            <w:noWrap/>
            <w:vAlign w:val="center"/>
          </w:tcPr>
          <w:p w14:paraId="1C92C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4BE67E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63A168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4E1A9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847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A233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三、国有资本经营预算财政拨款</w:t>
            </w:r>
          </w:p>
        </w:tc>
        <w:tc>
          <w:tcPr>
            <w:tcW w:w="602" w:type="dxa"/>
            <w:tcBorders>
              <w:top w:val="nil"/>
              <w:left w:val="nil"/>
              <w:bottom w:val="single" w:color="000000" w:sz="4" w:space="0"/>
              <w:right w:val="single" w:color="000000" w:sz="4" w:space="0"/>
            </w:tcBorders>
            <w:shd w:val="clear" w:color="FFFFFF" w:fill="C0C0C0"/>
            <w:vAlign w:val="center"/>
          </w:tcPr>
          <w:p w14:paraId="3A005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963" w:type="dxa"/>
            <w:tcBorders>
              <w:top w:val="nil"/>
              <w:left w:val="nil"/>
              <w:bottom w:val="single" w:color="000000" w:sz="4" w:space="0"/>
              <w:right w:val="single" w:color="000000" w:sz="4" w:space="0"/>
            </w:tcBorders>
            <w:shd w:val="clear" w:color="auto" w:fill="auto"/>
            <w:vAlign w:val="center"/>
          </w:tcPr>
          <w:p w14:paraId="675B4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05" w:type="dxa"/>
            <w:tcBorders>
              <w:top w:val="nil"/>
              <w:left w:val="nil"/>
              <w:bottom w:val="single" w:color="000000" w:sz="4" w:space="0"/>
              <w:right w:val="single" w:color="000000" w:sz="4" w:space="0"/>
            </w:tcBorders>
            <w:shd w:val="clear" w:color="FFFFFF" w:fill="C0C0C0"/>
            <w:vAlign w:val="center"/>
          </w:tcPr>
          <w:p w14:paraId="42D18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14:paraId="4C96E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666" w:type="dxa"/>
            <w:tcBorders>
              <w:top w:val="nil"/>
              <w:left w:val="nil"/>
              <w:bottom w:val="single" w:color="000000" w:sz="4" w:space="0"/>
              <w:right w:val="single" w:color="000000" w:sz="4" w:space="0"/>
            </w:tcBorders>
            <w:shd w:val="clear" w:color="auto" w:fill="auto"/>
            <w:noWrap/>
            <w:vAlign w:val="center"/>
          </w:tcPr>
          <w:p w14:paraId="5BC21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0BECC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313B2F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6F74A7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26C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E8A4807">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60F3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963" w:type="dxa"/>
            <w:tcBorders>
              <w:top w:val="nil"/>
              <w:left w:val="nil"/>
              <w:bottom w:val="single" w:color="000000" w:sz="4" w:space="0"/>
              <w:right w:val="single" w:color="000000" w:sz="4" w:space="0"/>
            </w:tcBorders>
            <w:shd w:val="clear" w:color="auto" w:fill="auto"/>
            <w:vAlign w:val="center"/>
          </w:tcPr>
          <w:p w14:paraId="6714D45D">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69197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14:paraId="58E03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666" w:type="dxa"/>
            <w:tcBorders>
              <w:top w:val="nil"/>
              <w:left w:val="nil"/>
              <w:bottom w:val="single" w:color="000000" w:sz="4" w:space="0"/>
              <w:right w:val="single" w:color="000000" w:sz="4" w:space="0"/>
            </w:tcBorders>
            <w:shd w:val="clear" w:color="auto" w:fill="auto"/>
            <w:noWrap/>
            <w:vAlign w:val="center"/>
          </w:tcPr>
          <w:p w14:paraId="4F7E15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68716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490AF2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32E4B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D9C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7336C6F5">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422B4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963" w:type="dxa"/>
            <w:tcBorders>
              <w:top w:val="nil"/>
              <w:left w:val="nil"/>
              <w:bottom w:val="single" w:color="000000" w:sz="4" w:space="0"/>
              <w:right w:val="single" w:color="000000" w:sz="4" w:space="0"/>
            </w:tcBorders>
            <w:shd w:val="clear" w:color="auto" w:fill="auto"/>
            <w:vAlign w:val="center"/>
          </w:tcPr>
          <w:p w14:paraId="2C34B13E">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7AD8E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14:paraId="6D20E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666" w:type="dxa"/>
            <w:tcBorders>
              <w:top w:val="nil"/>
              <w:left w:val="nil"/>
              <w:bottom w:val="single" w:color="000000" w:sz="4" w:space="0"/>
              <w:right w:val="single" w:color="000000" w:sz="4" w:space="0"/>
            </w:tcBorders>
            <w:shd w:val="clear" w:color="auto" w:fill="auto"/>
            <w:noWrap/>
            <w:vAlign w:val="center"/>
          </w:tcPr>
          <w:p w14:paraId="7996F6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02BC9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227464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2C1E27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D04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6AF4783A">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1BA6A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963" w:type="dxa"/>
            <w:tcBorders>
              <w:top w:val="nil"/>
              <w:left w:val="nil"/>
              <w:bottom w:val="single" w:color="000000" w:sz="4" w:space="0"/>
              <w:right w:val="single" w:color="000000" w:sz="4" w:space="0"/>
            </w:tcBorders>
            <w:shd w:val="clear" w:color="auto" w:fill="auto"/>
            <w:vAlign w:val="center"/>
          </w:tcPr>
          <w:p w14:paraId="38C7C75C">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13A06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14:paraId="0F79C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666" w:type="dxa"/>
            <w:tcBorders>
              <w:top w:val="nil"/>
              <w:left w:val="nil"/>
              <w:bottom w:val="single" w:color="000000" w:sz="4" w:space="0"/>
              <w:right w:val="single" w:color="000000" w:sz="4" w:space="0"/>
            </w:tcBorders>
            <w:shd w:val="clear" w:color="auto" w:fill="auto"/>
            <w:noWrap/>
            <w:vAlign w:val="center"/>
          </w:tcPr>
          <w:p w14:paraId="6C4E45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59D0D3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0F0FB0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30B09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A90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0B6E92C0">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39F5A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963" w:type="dxa"/>
            <w:tcBorders>
              <w:top w:val="nil"/>
              <w:left w:val="nil"/>
              <w:bottom w:val="single" w:color="000000" w:sz="4" w:space="0"/>
              <w:right w:val="single" w:color="000000" w:sz="4" w:space="0"/>
            </w:tcBorders>
            <w:shd w:val="clear" w:color="auto" w:fill="auto"/>
            <w:vAlign w:val="center"/>
          </w:tcPr>
          <w:p w14:paraId="37C7E1AF">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75E75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14:paraId="56EBC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w:t>
            </w:r>
          </w:p>
        </w:tc>
        <w:tc>
          <w:tcPr>
            <w:tcW w:w="666" w:type="dxa"/>
            <w:tcBorders>
              <w:top w:val="nil"/>
              <w:left w:val="nil"/>
              <w:bottom w:val="single" w:color="000000" w:sz="4" w:space="0"/>
              <w:right w:val="single" w:color="000000" w:sz="4" w:space="0"/>
            </w:tcBorders>
            <w:shd w:val="clear" w:color="auto" w:fill="auto"/>
            <w:noWrap/>
            <w:vAlign w:val="center"/>
          </w:tcPr>
          <w:p w14:paraId="36533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1F9E76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1D1949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415AE6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BAD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486D79F8">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42C06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963" w:type="dxa"/>
            <w:tcBorders>
              <w:top w:val="nil"/>
              <w:left w:val="nil"/>
              <w:bottom w:val="single" w:color="000000" w:sz="4" w:space="0"/>
              <w:right w:val="single" w:color="000000" w:sz="4" w:space="0"/>
            </w:tcBorders>
            <w:shd w:val="clear" w:color="auto" w:fill="auto"/>
            <w:vAlign w:val="center"/>
          </w:tcPr>
          <w:p w14:paraId="32F3DEA8">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79B81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14:paraId="63D9B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666" w:type="dxa"/>
            <w:tcBorders>
              <w:top w:val="nil"/>
              <w:left w:val="nil"/>
              <w:bottom w:val="single" w:color="000000" w:sz="4" w:space="0"/>
              <w:right w:val="single" w:color="000000" w:sz="4" w:space="0"/>
            </w:tcBorders>
            <w:shd w:val="clear" w:color="auto" w:fill="auto"/>
            <w:noWrap/>
            <w:vAlign w:val="center"/>
          </w:tcPr>
          <w:p w14:paraId="399822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56FA46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3FEC2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19C202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D9F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49315AB2">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3D3DE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963" w:type="dxa"/>
            <w:tcBorders>
              <w:top w:val="nil"/>
              <w:left w:val="nil"/>
              <w:bottom w:val="single" w:color="000000" w:sz="4" w:space="0"/>
              <w:right w:val="single" w:color="000000" w:sz="4" w:space="0"/>
            </w:tcBorders>
            <w:shd w:val="clear" w:color="auto" w:fill="auto"/>
            <w:vAlign w:val="center"/>
          </w:tcPr>
          <w:p w14:paraId="606A0F7F">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1E8DE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14:paraId="13F13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w:t>
            </w:r>
          </w:p>
        </w:tc>
        <w:tc>
          <w:tcPr>
            <w:tcW w:w="666" w:type="dxa"/>
            <w:tcBorders>
              <w:top w:val="nil"/>
              <w:left w:val="nil"/>
              <w:bottom w:val="single" w:color="000000" w:sz="4" w:space="0"/>
              <w:right w:val="single" w:color="000000" w:sz="4" w:space="0"/>
            </w:tcBorders>
            <w:shd w:val="clear" w:color="auto" w:fill="auto"/>
            <w:noWrap/>
            <w:vAlign w:val="center"/>
          </w:tcPr>
          <w:p w14:paraId="7F0C4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1A5BEF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6E456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32A0FF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CB6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CB8A138">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09FDA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963" w:type="dxa"/>
            <w:tcBorders>
              <w:top w:val="nil"/>
              <w:left w:val="nil"/>
              <w:bottom w:val="single" w:color="000000" w:sz="4" w:space="0"/>
              <w:right w:val="single" w:color="000000" w:sz="4" w:space="0"/>
            </w:tcBorders>
            <w:shd w:val="clear" w:color="auto" w:fill="auto"/>
            <w:vAlign w:val="center"/>
          </w:tcPr>
          <w:p w14:paraId="1002CE81">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5BE6C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14:paraId="12AFD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666" w:type="dxa"/>
            <w:tcBorders>
              <w:top w:val="nil"/>
              <w:left w:val="nil"/>
              <w:bottom w:val="single" w:color="000000" w:sz="4" w:space="0"/>
              <w:right w:val="single" w:color="000000" w:sz="4" w:space="0"/>
            </w:tcBorders>
            <w:shd w:val="clear" w:color="auto" w:fill="auto"/>
            <w:noWrap/>
            <w:vAlign w:val="center"/>
          </w:tcPr>
          <w:p w14:paraId="1F7126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78EDC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56CCD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5F75FD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04E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64AE567">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33E7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963" w:type="dxa"/>
            <w:tcBorders>
              <w:top w:val="nil"/>
              <w:left w:val="nil"/>
              <w:bottom w:val="single" w:color="000000" w:sz="4" w:space="0"/>
              <w:right w:val="single" w:color="000000" w:sz="4" w:space="0"/>
            </w:tcBorders>
            <w:shd w:val="clear" w:color="auto" w:fill="auto"/>
            <w:vAlign w:val="center"/>
          </w:tcPr>
          <w:p w14:paraId="3FB66247">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3D9F7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14:paraId="53861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w:t>
            </w:r>
          </w:p>
        </w:tc>
        <w:tc>
          <w:tcPr>
            <w:tcW w:w="666" w:type="dxa"/>
            <w:tcBorders>
              <w:top w:val="nil"/>
              <w:left w:val="nil"/>
              <w:bottom w:val="single" w:color="000000" w:sz="4" w:space="0"/>
              <w:right w:val="single" w:color="000000" w:sz="4" w:space="0"/>
            </w:tcBorders>
            <w:shd w:val="clear" w:color="auto" w:fill="auto"/>
            <w:noWrap/>
            <w:vAlign w:val="center"/>
          </w:tcPr>
          <w:p w14:paraId="1AB6A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07F0C0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3587B5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5D0A8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A55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6E8D8C0E">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669E1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963" w:type="dxa"/>
            <w:tcBorders>
              <w:top w:val="nil"/>
              <w:left w:val="nil"/>
              <w:bottom w:val="single" w:color="000000" w:sz="4" w:space="0"/>
              <w:right w:val="single" w:color="000000" w:sz="4" w:space="0"/>
            </w:tcBorders>
            <w:shd w:val="clear" w:color="auto" w:fill="auto"/>
            <w:vAlign w:val="center"/>
          </w:tcPr>
          <w:p w14:paraId="3001B4AE">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3CB75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14:paraId="36885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w:t>
            </w:r>
          </w:p>
        </w:tc>
        <w:tc>
          <w:tcPr>
            <w:tcW w:w="666" w:type="dxa"/>
            <w:tcBorders>
              <w:top w:val="nil"/>
              <w:left w:val="nil"/>
              <w:bottom w:val="single" w:color="000000" w:sz="4" w:space="0"/>
              <w:right w:val="single" w:color="000000" w:sz="4" w:space="0"/>
            </w:tcBorders>
            <w:shd w:val="clear" w:color="auto" w:fill="auto"/>
            <w:noWrap/>
            <w:vAlign w:val="center"/>
          </w:tcPr>
          <w:p w14:paraId="7DF26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17.53</w:t>
            </w:r>
          </w:p>
        </w:tc>
        <w:tc>
          <w:tcPr>
            <w:tcW w:w="858" w:type="dxa"/>
            <w:tcBorders>
              <w:top w:val="nil"/>
              <w:left w:val="nil"/>
              <w:bottom w:val="single" w:color="000000" w:sz="4" w:space="0"/>
              <w:right w:val="single" w:color="000000" w:sz="4" w:space="0"/>
            </w:tcBorders>
            <w:shd w:val="clear" w:color="auto" w:fill="auto"/>
            <w:noWrap/>
            <w:vAlign w:val="center"/>
          </w:tcPr>
          <w:p w14:paraId="7568D0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17.53</w:t>
            </w:r>
          </w:p>
        </w:tc>
        <w:tc>
          <w:tcPr>
            <w:tcW w:w="821" w:type="dxa"/>
            <w:tcBorders>
              <w:top w:val="nil"/>
              <w:left w:val="nil"/>
              <w:bottom w:val="single" w:color="000000" w:sz="4" w:space="0"/>
              <w:right w:val="single" w:color="000000" w:sz="4" w:space="0"/>
            </w:tcBorders>
            <w:shd w:val="clear" w:color="auto" w:fill="auto"/>
            <w:noWrap/>
            <w:vAlign w:val="center"/>
          </w:tcPr>
          <w:p w14:paraId="5BFB9E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70C00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46E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6F2782DA">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6DDCA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963" w:type="dxa"/>
            <w:tcBorders>
              <w:top w:val="nil"/>
              <w:left w:val="nil"/>
              <w:bottom w:val="single" w:color="000000" w:sz="4" w:space="0"/>
              <w:right w:val="single" w:color="000000" w:sz="4" w:space="0"/>
            </w:tcBorders>
            <w:shd w:val="clear" w:color="auto" w:fill="auto"/>
            <w:vAlign w:val="center"/>
          </w:tcPr>
          <w:p w14:paraId="12757D7E">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5A281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14:paraId="62D6C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666" w:type="dxa"/>
            <w:tcBorders>
              <w:top w:val="nil"/>
              <w:left w:val="nil"/>
              <w:bottom w:val="single" w:color="000000" w:sz="4" w:space="0"/>
              <w:right w:val="single" w:color="000000" w:sz="4" w:space="0"/>
            </w:tcBorders>
            <w:shd w:val="clear" w:color="auto" w:fill="auto"/>
            <w:noWrap/>
            <w:vAlign w:val="center"/>
          </w:tcPr>
          <w:p w14:paraId="648399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1513E9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0235F8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1868CA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4E4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192CF557">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4BCA3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963" w:type="dxa"/>
            <w:tcBorders>
              <w:top w:val="nil"/>
              <w:left w:val="nil"/>
              <w:bottom w:val="single" w:color="000000" w:sz="4" w:space="0"/>
              <w:right w:val="single" w:color="000000" w:sz="4" w:space="0"/>
            </w:tcBorders>
            <w:shd w:val="clear" w:color="auto" w:fill="auto"/>
            <w:vAlign w:val="center"/>
          </w:tcPr>
          <w:p w14:paraId="214AB51D">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1DF73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14:paraId="215F5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666" w:type="dxa"/>
            <w:tcBorders>
              <w:top w:val="nil"/>
              <w:left w:val="nil"/>
              <w:bottom w:val="single" w:color="000000" w:sz="4" w:space="0"/>
              <w:right w:val="single" w:color="000000" w:sz="4" w:space="0"/>
            </w:tcBorders>
            <w:shd w:val="clear" w:color="auto" w:fill="auto"/>
            <w:noWrap/>
            <w:vAlign w:val="center"/>
          </w:tcPr>
          <w:p w14:paraId="77935F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07FDC8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50D7E2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44A6A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39B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25E9C1A">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5960E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963" w:type="dxa"/>
            <w:tcBorders>
              <w:top w:val="nil"/>
              <w:left w:val="nil"/>
              <w:bottom w:val="single" w:color="000000" w:sz="4" w:space="0"/>
              <w:right w:val="single" w:color="000000" w:sz="4" w:space="0"/>
            </w:tcBorders>
            <w:shd w:val="clear" w:color="auto" w:fill="auto"/>
            <w:vAlign w:val="center"/>
          </w:tcPr>
          <w:p w14:paraId="19FBA194">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35E6F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14:paraId="558C3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w:t>
            </w:r>
          </w:p>
        </w:tc>
        <w:tc>
          <w:tcPr>
            <w:tcW w:w="666" w:type="dxa"/>
            <w:tcBorders>
              <w:top w:val="nil"/>
              <w:left w:val="nil"/>
              <w:bottom w:val="single" w:color="000000" w:sz="4" w:space="0"/>
              <w:right w:val="single" w:color="000000" w:sz="4" w:space="0"/>
            </w:tcBorders>
            <w:shd w:val="clear" w:color="auto" w:fill="auto"/>
            <w:noWrap/>
            <w:vAlign w:val="center"/>
          </w:tcPr>
          <w:p w14:paraId="5677B4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18D1B4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1CD40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490764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D22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1EAED050">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72510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963" w:type="dxa"/>
            <w:tcBorders>
              <w:top w:val="nil"/>
              <w:left w:val="nil"/>
              <w:bottom w:val="single" w:color="000000" w:sz="4" w:space="0"/>
              <w:right w:val="single" w:color="000000" w:sz="4" w:space="0"/>
            </w:tcBorders>
            <w:shd w:val="clear" w:color="auto" w:fill="auto"/>
            <w:vAlign w:val="center"/>
          </w:tcPr>
          <w:p w14:paraId="65BCBEF8">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3FAC5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14:paraId="163B5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c>
          <w:tcPr>
            <w:tcW w:w="666" w:type="dxa"/>
            <w:tcBorders>
              <w:top w:val="nil"/>
              <w:left w:val="nil"/>
              <w:bottom w:val="single" w:color="000000" w:sz="4" w:space="0"/>
              <w:right w:val="single" w:color="000000" w:sz="4" w:space="0"/>
            </w:tcBorders>
            <w:shd w:val="clear" w:color="auto" w:fill="auto"/>
            <w:noWrap/>
            <w:vAlign w:val="center"/>
          </w:tcPr>
          <w:p w14:paraId="32B79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229215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5FEFCD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25051E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048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75316176">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51000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963" w:type="dxa"/>
            <w:tcBorders>
              <w:top w:val="nil"/>
              <w:left w:val="nil"/>
              <w:bottom w:val="single" w:color="000000" w:sz="4" w:space="0"/>
              <w:right w:val="single" w:color="000000" w:sz="4" w:space="0"/>
            </w:tcBorders>
            <w:shd w:val="clear" w:color="auto" w:fill="auto"/>
            <w:vAlign w:val="center"/>
          </w:tcPr>
          <w:p w14:paraId="49C39BED">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59C9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14:paraId="2E996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w:t>
            </w:r>
          </w:p>
        </w:tc>
        <w:tc>
          <w:tcPr>
            <w:tcW w:w="666" w:type="dxa"/>
            <w:tcBorders>
              <w:top w:val="nil"/>
              <w:left w:val="nil"/>
              <w:bottom w:val="single" w:color="000000" w:sz="4" w:space="0"/>
              <w:right w:val="single" w:color="000000" w:sz="4" w:space="0"/>
            </w:tcBorders>
            <w:shd w:val="clear" w:color="auto" w:fill="auto"/>
            <w:noWrap/>
            <w:vAlign w:val="center"/>
          </w:tcPr>
          <w:p w14:paraId="2C3D52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62808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6ED67F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12CC6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483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5626651">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53F7B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963" w:type="dxa"/>
            <w:tcBorders>
              <w:top w:val="nil"/>
              <w:left w:val="nil"/>
              <w:bottom w:val="single" w:color="000000" w:sz="4" w:space="0"/>
              <w:right w:val="single" w:color="000000" w:sz="4" w:space="0"/>
            </w:tcBorders>
            <w:shd w:val="clear" w:color="auto" w:fill="auto"/>
            <w:vAlign w:val="center"/>
          </w:tcPr>
          <w:p w14:paraId="629BAE48">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242BA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14:paraId="454C9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666" w:type="dxa"/>
            <w:tcBorders>
              <w:top w:val="nil"/>
              <w:left w:val="nil"/>
              <w:bottom w:val="single" w:color="000000" w:sz="4" w:space="0"/>
              <w:right w:val="single" w:color="000000" w:sz="4" w:space="0"/>
            </w:tcBorders>
            <w:shd w:val="clear" w:color="auto" w:fill="auto"/>
            <w:noWrap/>
            <w:vAlign w:val="center"/>
          </w:tcPr>
          <w:p w14:paraId="7784FA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664.59</w:t>
            </w:r>
          </w:p>
        </w:tc>
        <w:tc>
          <w:tcPr>
            <w:tcW w:w="858" w:type="dxa"/>
            <w:tcBorders>
              <w:top w:val="nil"/>
              <w:left w:val="nil"/>
              <w:bottom w:val="single" w:color="000000" w:sz="4" w:space="0"/>
              <w:right w:val="single" w:color="000000" w:sz="4" w:space="0"/>
            </w:tcBorders>
            <w:shd w:val="clear" w:color="auto" w:fill="auto"/>
            <w:noWrap/>
            <w:vAlign w:val="center"/>
          </w:tcPr>
          <w:p w14:paraId="79388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664.59</w:t>
            </w:r>
          </w:p>
        </w:tc>
        <w:tc>
          <w:tcPr>
            <w:tcW w:w="821" w:type="dxa"/>
            <w:tcBorders>
              <w:top w:val="nil"/>
              <w:left w:val="nil"/>
              <w:bottom w:val="single" w:color="000000" w:sz="4" w:space="0"/>
              <w:right w:val="single" w:color="000000" w:sz="4" w:space="0"/>
            </w:tcBorders>
            <w:shd w:val="clear" w:color="auto" w:fill="auto"/>
            <w:noWrap/>
            <w:vAlign w:val="center"/>
          </w:tcPr>
          <w:p w14:paraId="4FBD34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6A206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CC6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04346F14">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40DF0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963" w:type="dxa"/>
            <w:tcBorders>
              <w:top w:val="nil"/>
              <w:left w:val="nil"/>
              <w:bottom w:val="single" w:color="000000" w:sz="4" w:space="0"/>
              <w:right w:val="single" w:color="000000" w:sz="4" w:space="0"/>
            </w:tcBorders>
            <w:shd w:val="clear" w:color="auto" w:fill="auto"/>
            <w:vAlign w:val="center"/>
          </w:tcPr>
          <w:p w14:paraId="7306D3C1">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68EAA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14:paraId="7E2B8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w:t>
            </w:r>
          </w:p>
        </w:tc>
        <w:tc>
          <w:tcPr>
            <w:tcW w:w="666" w:type="dxa"/>
            <w:tcBorders>
              <w:top w:val="nil"/>
              <w:left w:val="nil"/>
              <w:bottom w:val="single" w:color="000000" w:sz="4" w:space="0"/>
              <w:right w:val="single" w:color="000000" w:sz="4" w:space="0"/>
            </w:tcBorders>
            <w:shd w:val="clear" w:color="auto" w:fill="auto"/>
            <w:noWrap/>
            <w:vAlign w:val="center"/>
          </w:tcPr>
          <w:p w14:paraId="71ADB0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462AD5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112289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73D0F1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E9B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8584025">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203FD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963" w:type="dxa"/>
            <w:tcBorders>
              <w:top w:val="nil"/>
              <w:left w:val="nil"/>
              <w:bottom w:val="single" w:color="000000" w:sz="4" w:space="0"/>
              <w:right w:val="single" w:color="000000" w:sz="4" w:space="0"/>
            </w:tcBorders>
            <w:shd w:val="clear" w:color="auto" w:fill="auto"/>
            <w:vAlign w:val="center"/>
          </w:tcPr>
          <w:p w14:paraId="565D51A1">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2972C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14:paraId="1670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w:t>
            </w:r>
          </w:p>
        </w:tc>
        <w:tc>
          <w:tcPr>
            <w:tcW w:w="666" w:type="dxa"/>
            <w:tcBorders>
              <w:top w:val="nil"/>
              <w:left w:val="nil"/>
              <w:bottom w:val="single" w:color="000000" w:sz="4" w:space="0"/>
              <w:right w:val="single" w:color="000000" w:sz="4" w:space="0"/>
            </w:tcBorders>
            <w:shd w:val="clear" w:color="auto" w:fill="auto"/>
            <w:noWrap/>
            <w:vAlign w:val="center"/>
          </w:tcPr>
          <w:p w14:paraId="49CD89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0E7CCC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2D5AF4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2BE1DD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D5E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43531D8">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6006E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963" w:type="dxa"/>
            <w:tcBorders>
              <w:top w:val="nil"/>
              <w:left w:val="nil"/>
              <w:bottom w:val="single" w:color="000000" w:sz="4" w:space="0"/>
              <w:right w:val="single" w:color="000000" w:sz="4" w:space="0"/>
            </w:tcBorders>
            <w:shd w:val="clear" w:color="auto" w:fill="auto"/>
            <w:vAlign w:val="center"/>
          </w:tcPr>
          <w:p w14:paraId="6D5E75E5">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717A8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14:paraId="1DE9E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w:t>
            </w:r>
          </w:p>
        </w:tc>
        <w:tc>
          <w:tcPr>
            <w:tcW w:w="666" w:type="dxa"/>
            <w:tcBorders>
              <w:top w:val="nil"/>
              <w:left w:val="nil"/>
              <w:bottom w:val="single" w:color="000000" w:sz="4" w:space="0"/>
              <w:right w:val="single" w:color="000000" w:sz="4" w:space="0"/>
            </w:tcBorders>
            <w:shd w:val="clear" w:color="auto" w:fill="auto"/>
            <w:noWrap/>
            <w:vAlign w:val="center"/>
          </w:tcPr>
          <w:p w14:paraId="2D36D8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7F9EA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6BFD68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46E021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281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CC03E26">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06153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963" w:type="dxa"/>
            <w:tcBorders>
              <w:top w:val="nil"/>
              <w:left w:val="nil"/>
              <w:bottom w:val="single" w:color="000000" w:sz="4" w:space="0"/>
              <w:right w:val="single" w:color="000000" w:sz="4" w:space="0"/>
            </w:tcBorders>
            <w:shd w:val="clear" w:color="auto" w:fill="auto"/>
            <w:vAlign w:val="center"/>
          </w:tcPr>
          <w:p w14:paraId="2C1B372C">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557C6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14:paraId="29B66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w:t>
            </w:r>
          </w:p>
        </w:tc>
        <w:tc>
          <w:tcPr>
            <w:tcW w:w="666" w:type="dxa"/>
            <w:tcBorders>
              <w:top w:val="nil"/>
              <w:left w:val="nil"/>
              <w:bottom w:val="single" w:color="000000" w:sz="4" w:space="0"/>
              <w:right w:val="single" w:color="000000" w:sz="4" w:space="0"/>
            </w:tcBorders>
            <w:shd w:val="clear" w:color="auto" w:fill="auto"/>
            <w:noWrap/>
            <w:vAlign w:val="center"/>
          </w:tcPr>
          <w:p w14:paraId="405C55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858" w:type="dxa"/>
            <w:tcBorders>
              <w:top w:val="nil"/>
              <w:left w:val="nil"/>
              <w:bottom w:val="single" w:color="000000" w:sz="4" w:space="0"/>
              <w:right w:val="single" w:color="000000" w:sz="4" w:space="0"/>
            </w:tcBorders>
            <w:shd w:val="clear" w:color="auto" w:fill="auto"/>
            <w:noWrap/>
            <w:vAlign w:val="center"/>
          </w:tcPr>
          <w:p w14:paraId="42F43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821" w:type="dxa"/>
            <w:tcBorders>
              <w:top w:val="nil"/>
              <w:left w:val="nil"/>
              <w:bottom w:val="single" w:color="000000" w:sz="4" w:space="0"/>
              <w:right w:val="single" w:color="000000" w:sz="4" w:space="0"/>
            </w:tcBorders>
            <w:shd w:val="clear" w:color="auto" w:fill="auto"/>
            <w:noWrap/>
            <w:vAlign w:val="center"/>
          </w:tcPr>
          <w:p w14:paraId="5EAA47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03044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D9A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0C8A64CB">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38109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963" w:type="dxa"/>
            <w:tcBorders>
              <w:top w:val="nil"/>
              <w:left w:val="nil"/>
              <w:bottom w:val="single" w:color="000000" w:sz="4" w:space="0"/>
              <w:right w:val="single" w:color="000000" w:sz="4" w:space="0"/>
            </w:tcBorders>
            <w:shd w:val="clear" w:color="auto" w:fill="auto"/>
            <w:vAlign w:val="center"/>
          </w:tcPr>
          <w:p w14:paraId="22C21701">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7FDF8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14:paraId="3E90F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w:t>
            </w:r>
          </w:p>
        </w:tc>
        <w:tc>
          <w:tcPr>
            <w:tcW w:w="666" w:type="dxa"/>
            <w:tcBorders>
              <w:top w:val="nil"/>
              <w:left w:val="nil"/>
              <w:bottom w:val="single" w:color="000000" w:sz="4" w:space="0"/>
              <w:right w:val="single" w:color="000000" w:sz="4" w:space="0"/>
            </w:tcBorders>
            <w:shd w:val="clear" w:color="auto" w:fill="auto"/>
            <w:noWrap/>
            <w:vAlign w:val="center"/>
          </w:tcPr>
          <w:p w14:paraId="4D6388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7D3FBE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4E6E20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55E5DE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A5A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71C29772">
            <w:pPr>
              <w:jc w:val="center"/>
              <w:rPr>
                <w:rFonts w:hint="eastAsia" w:ascii="宋体" w:hAnsi="宋体" w:eastAsia="宋体" w:cs="宋体"/>
                <w:b/>
                <w:bCs/>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3A20A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963" w:type="dxa"/>
            <w:tcBorders>
              <w:top w:val="nil"/>
              <w:left w:val="nil"/>
              <w:bottom w:val="single" w:color="000000" w:sz="4" w:space="0"/>
              <w:right w:val="single" w:color="000000" w:sz="4" w:space="0"/>
            </w:tcBorders>
            <w:shd w:val="clear" w:color="auto" w:fill="auto"/>
            <w:vAlign w:val="center"/>
          </w:tcPr>
          <w:p w14:paraId="3BD60801">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24C19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14:paraId="6563A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w:t>
            </w:r>
          </w:p>
        </w:tc>
        <w:tc>
          <w:tcPr>
            <w:tcW w:w="666" w:type="dxa"/>
            <w:tcBorders>
              <w:top w:val="nil"/>
              <w:left w:val="nil"/>
              <w:bottom w:val="single" w:color="000000" w:sz="4" w:space="0"/>
              <w:right w:val="single" w:color="000000" w:sz="4" w:space="0"/>
            </w:tcBorders>
            <w:shd w:val="clear" w:color="auto" w:fill="auto"/>
            <w:noWrap/>
            <w:vAlign w:val="center"/>
          </w:tcPr>
          <w:p w14:paraId="54B97C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520A9A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6416A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7E8A4D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AF2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002F493">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0A98C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963" w:type="dxa"/>
            <w:tcBorders>
              <w:top w:val="nil"/>
              <w:left w:val="nil"/>
              <w:bottom w:val="single" w:color="000000" w:sz="4" w:space="0"/>
              <w:right w:val="single" w:color="000000" w:sz="4" w:space="0"/>
            </w:tcBorders>
            <w:shd w:val="clear" w:color="auto" w:fill="auto"/>
            <w:vAlign w:val="center"/>
          </w:tcPr>
          <w:p w14:paraId="2228B47E">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431C2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14:paraId="28C8B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w:t>
            </w:r>
          </w:p>
        </w:tc>
        <w:tc>
          <w:tcPr>
            <w:tcW w:w="666" w:type="dxa"/>
            <w:tcBorders>
              <w:top w:val="nil"/>
              <w:left w:val="nil"/>
              <w:bottom w:val="single" w:color="000000" w:sz="4" w:space="0"/>
              <w:right w:val="single" w:color="000000" w:sz="4" w:space="0"/>
            </w:tcBorders>
            <w:shd w:val="clear" w:color="auto" w:fill="auto"/>
            <w:noWrap/>
            <w:vAlign w:val="center"/>
          </w:tcPr>
          <w:p w14:paraId="179BCC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4303A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5E625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15A33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E90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E8E14B4">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000000" w:sz="4" w:space="0"/>
              <w:right w:val="single" w:color="000000" w:sz="4" w:space="0"/>
            </w:tcBorders>
            <w:shd w:val="clear" w:color="FFFFFF" w:fill="C0C0C0"/>
            <w:vAlign w:val="center"/>
          </w:tcPr>
          <w:p w14:paraId="0A815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963" w:type="dxa"/>
            <w:tcBorders>
              <w:top w:val="nil"/>
              <w:left w:val="nil"/>
              <w:bottom w:val="single" w:color="000000" w:sz="4" w:space="0"/>
              <w:right w:val="single" w:color="000000" w:sz="4" w:space="0"/>
            </w:tcBorders>
            <w:shd w:val="clear" w:color="auto" w:fill="auto"/>
            <w:vAlign w:val="center"/>
          </w:tcPr>
          <w:p w14:paraId="67E51EA5">
            <w:pPr>
              <w:jc w:val="right"/>
              <w:rPr>
                <w:rFonts w:hint="eastAsia" w:ascii="宋体" w:hAnsi="宋体" w:eastAsia="宋体" w:cs="宋体"/>
                <w:i w:val="0"/>
                <w:iCs w:val="0"/>
                <w:color w:val="000000"/>
                <w:sz w:val="18"/>
                <w:szCs w:val="18"/>
                <w:u w:val="none"/>
              </w:rPr>
            </w:pPr>
          </w:p>
        </w:tc>
        <w:tc>
          <w:tcPr>
            <w:tcW w:w="3005" w:type="dxa"/>
            <w:tcBorders>
              <w:top w:val="nil"/>
              <w:left w:val="nil"/>
              <w:bottom w:val="single" w:color="000000" w:sz="4" w:space="0"/>
              <w:right w:val="single" w:color="000000" w:sz="4" w:space="0"/>
            </w:tcBorders>
            <w:shd w:val="clear" w:color="FFFFFF" w:fill="C0C0C0"/>
            <w:vAlign w:val="center"/>
          </w:tcPr>
          <w:p w14:paraId="58BD9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14:paraId="2FC1E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w:t>
            </w:r>
          </w:p>
        </w:tc>
        <w:tc>
          <w:tcPr>
            <w:tcW w:w="666" w:type="dxa"/>
            <w:tcBorders>
              <w:top w:val="nil"/>
              <w:left w:val="nil"/>
              <w:bottom w:val="single" w:color="000000" w:sz="4" w:space="0"/>
              <w:right w:val="single" w:color="000000" w:sz="4" w:space="0"/>
            </w:tcBorders>
            <w:shd w:val="clear" w:color="auto" w:fill="auto"/>
            <w:noWrap/>
            <w:vAlign w:val="center"/>
          </w:tcPr>
          <w:p w14:paraId="35C6F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192B61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396006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50864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C98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7697BD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本年收入合计</w:t>
            </w:r>
          </w:p>
        </w:tc>
        <w:tc>
          <w:tcPr>
            <w:tcW w:w="602" w:type="dxa"/>
            <w:tcBorders>
              <w:top w:val="nil"/>
              <w:left w:val="nil"/>
              <w:bottom w:val="single" w:color="000000" w:sz="4" w:space="0"/>
              <w:right w:val="single" w:color="000000" w:sz="4" w:space="0"/>
            </w:tcBorders>
            <w:shd w:val="clear" w:color="FFFFFF" w:fill="C0C0C0"/>
            <w:vAlign w:val="center"/>
          </w:tcPr>
          <w:p w14:paraId="102E2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963" w:type="dxa"/>
            <w:tcBorders>
              <w:top w:val="nil"/>
              <w:left w:val="nil"/>
              <w:bottom w:val="single" w:color="000000" w:sz="4" w:space="0"/>
              <w:right w:val="single" w:color="000000" w:sz="4" w:space="0"/>
            </w:tcBorders>
            <w:shd w:val="clear" w:color="auto" w:fill="auto"/>
            <w:vAlign w:val="center"/>
          </w:tcPr>
          <w:p w14:paraId="255CB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3005" w:type="dxa"/>
            <w:tcBorders>
              <w:top w:val="nil"/>
              <w:left w:val="nil"/>
              <w:bottom w:val="single" w:color="000000" w:sz="4" w:space="0"/>
              <w:right w:val="single" w:color="000000" w:sz="4" w:space="0"/>
            </w:tcBorders>
            <w:shd w:val="clear" w:color="FFFFFF" w:fill="C0C0C0"/>
            <w:vAlign w:val="center"/>
          </w:tcPr>
          <w:p w14:paraId="32CCAB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14:paraId="7F93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w:t>
            </w:r>
          </w:p>
        </w:tc>
        <w:tc>
          <w:tcPr>
            <w:tcW w:w="666" w:type="dxa"/>
            <w:tcBorders>
              <w:top w:val="nil"/>
              <w:left w:val="nil"/>
              <w:bottom w:val="single" w:color="000000" w:sz="4" w:space="0"/>
              <w:right w:val="single" w:color="000000" w:sz="4" w:space="0"/>
            </w:tcBorders>
            <w:shd w:val="clear" w:color="auto" w:fill="auto"/>
            <w:noWrap/>
            <w:vAlign w:val="center"/>
          </w:tcPr>
          <w:p w14:paraId="5D996C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858" w:type="dxa"/>
            <w:tcBorders>
              <w:top w:val="nil"/>
              <w:left w:val="nil"/>
              <w:bottom w:val="single" w:color="000000" w:sz="4" w:space="0"/>
              <w:right w:val="single" w:color="000000" w:sz="4" w:space="0"/>
            </w:tcBorders>
            <w:shd w:val="clear" w:color="auto" w:fill="auto"/>
            <w:noWrap/>
            <w:vAlign w:val="center"/>
          </w:tcPr>
          <w:p w14:paraId="528E0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821" w:type="dxa"/>
            <w:tcBorders>
              <w:top w:val="nil"/>
              <w:left w:val="nil"/>
              <w:bottom w:val="single" w:color="000000" w:sz="4" w:space="0"/>
              <w:right w:val="single" w:color="000000" w:sz="4" w:space="0"/>
            </w:tcBorders>
            <w:shd w:val="clear" w:color="auto" w:fill="auto"/>
            <w:noWrap/>
            <w:vAlign w:val="center"/>
          </w:tcPr>
          <w:p w14:paraId="6E4CB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632BDA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897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63AD5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年初财政拨款结转和结余</w:t>
            </w:r>
          </w:p>
        </w:tc>
        <w:tc>
          <w:tcPr>
            <w:tcW w:w="602" w:type="dxa"/>
            <w:tcBorders>
              <w:top w:val="nil"/>
              <w:left w:val="nil"/>
              <w:bottom w:val="single" w:color="000000" w:sz="4" w:space="0"/>
              <w:right w:val="single" w:color="000000" w:sz="4" w:space="0"/>
            </w:tcBorders>
            <w:shd w:val="clear" w:color="FFFFFF" w:fill="C0C0C0"/>
            <w:vAlign w:val="center"/>
          </w:tcPr>
          <w:p w14:paraId="5CDDE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963" w:type="dxa"/>
            <w:tcBorders>
              <w:top w:val="nil"/>
              <w:left w:val="nil"/>
              <w:bottom w:val="single" w:color="000000" w:sz="4" w:space="0"/>
              <w:right w:val="single" w:color="000000" w:sz="4" w:space="0"/>
            </w:tcBorders>
            <w:shd w:val="clear" w:color="auto" w:fill="auto"/>
            <w:vAlign w:val="center"/>
          </w:tcPr>
          <w:p w14:paraId="7DD974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05" w:type="dxa"/>
            <w:tcBorders>
              <w:top w:val="nil"/>
              <w:left w:val="nil"/>
              <w:bottom w:val="single" w:color="000000" w:sz="4" w:space="0"/>
              <w:right w:val="single" w:color="000000" w:sz="4" w:space="0"/>
            </w:tcBorders>
            <w:shd w:val="clear" w:color="FFFFFF" w:fill="C0C0C0"/>
            <w:vAlign w:val="center"/>
          </w:tcPr>
          <w:p w14:paraId="3C074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2397A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w:t>
            </w:r>
          </w:p>
        </w:tc>
        <w:tc>
          <w:tcPr>
            <w:tcW w:w="666" w:type="dxa"/>
            <w:tcBorders>
              <w:top w:val="nil"/>
              <w:left w:val="nil"/>
              <w:bottom w:val="single" w:color="000000" w:sz="4" w:space="0"/>
              <w:right w:val="single" w:color="000000" w:sz="4" w:space="0"/>
            </w:tcBorders>
            <w:shd w:val="clear" w:color="auto" w:fill="auto"/>
            <w:noWrap/>
            <w:vAlign w:val="center"/>
          </w:tcPr>
          <w:p w14:paraId="6E2251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58" w:type="dxa"/>
            <w:tcBorders>
              <w:top w:val="nil"/>
              <w:left w:val="nil"/>
              <w:bottom w:val="single" w:color="000000" w:sz="4" w:space="0"/>
              <w:right w:val="single" w:color="000000" w:sz="4" w:space="0"/>
            </w:tcBorders>
            <w:shd w:val="clear" w:color="auto" w:fill="auto"/>
            <w:noWrap/>
            <w:vAlign w:val="center"/>
          </w:tcPr>
          <w:p w14:paraId="160B20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821" w:type="dxa"/>
            <w:tcBorders>
              <w:top w:val="nil"/>
              <w:left w:val="nil"/>
              <w:bottom w:val="single" w:color="000000" w:sz="4" w:space="0"/>
              <w:right w:val="single" w:color="000000" w:sz="4" w:space="0"/>
            </w:tcBorders>
            <w:shd w:val="clear" w:color="auto" w:fill="auto"/>
            <w:noWrap/>
            <w:vAlign w:val="center"/>
          </w:tcPr>
          <w:p w14:paraId="04218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3AA41D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5E8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5BEBF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一般公共预算财政拨款</w:t>
            </w:r>
          </w:p>
        </w:tc>
        <w:tc>
          <w:tcPr>
            <w:tcW w:w="602" w:type="dxa"/>
            <w:tcBorders>
              <w:top w:val="nil"/>
              <w:left w:val="nil"/>
              <w:bottom w:val="single" w:color="000000" w:sz="4" w:space="0"/>
              <w:right w:val="single" w:color="000000" w:sz="4" w:space="0"/>
            </w:tcBorders>
            <w:shd w:val="clear" w:color="FFFFFF" w:fill="C0C0C0"/>
            <w:vAlign w:val="center"/>
          </w:tcPr>
          <w:p w14:paraId="719A7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963" w:type="dxa"/>
            <w:tcBorders>
              <w:top w:val="nil"/>
              <w:left w:val="nil"/>
              <w:bottom w:val="single" w:color="000000" w:sz="4" w:space="0"/>
              <w:right w:val="single" w:color="000000" w:sz="4" w:space="0"/>
            </w:tcBorders>
            <w:shd w:val="clear" w:color="auto" w:fill="auto"/>
            <w:vAlign w:val="center"/>
          </w:tcPr>
          <w:p w14:paraId="2E4B63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05" w:type="dxa"/>
            <w:tcBorders>
              <w:top w:val="nil"/>
              <w:left w:val="nil"/>
              <w:bottom w:val="single" w:color="000000" w:sz="4" w:space="0"/>
              <w:right w:val="single" w:color="000000" w:sz="4" w:space="0"/>
            </w:tcBorders>
            <w:shd w:val="clear" w:color="FFFFFF" w:fill="C0C0C0"/>
            <w:vAlign w:val="center"/>
          </w:tcPr>
          <w:p w14:paraId="60E204BE">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542D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w:t>
            </w:r>
          </w:p>
        </w:tc>
        <w:tc>
          <w:tcPr>
            <w:tcW w:w="666" w:type="dxa"/>
            <w:tcBorders>
              <w:top w:val="nil"/>
              <w:left w:val="nil"/>
              <w:bottom w:val="single" w:color="000000" w:sz="4" w:space="0"/>
              <w:right w:val="single" w:color="000000" w:sz="4" w:space="0"/>
            </w:tcBorders>
            <w:shd w:val="clear" w:color="auto" w:fill="auto"/>
            <w:noWrap/>
            <w:vAlign w:val="center"/>
          </w:tcPr>
          <w:p w14:paraId="0ACD1C63">
            <w:pPr>
              <w:jc w:val="right"/>
              <w:rPr>
                <w:rFonts w:hint="eastAsia" w:ascii="宋体" w:hAnsi="宋体" w:eastAsia="宋体" w:cs="宋体"/>
                <w:i w:val="0"/>
                <w:iCs w:val="0"/>
                <w:color w:val="000000"/>
                <w:sz w:val="18"/>
                <w:szCs w:val="18"/>
                <w:u w:val="none"/>
              </w:rPr>
            </w:pPr>
          </w:p>
        </w:tc>
        <w:tc>
          <w:tcPr>
            <w:tcW w:w="858" w:type="dxa"/>
            <w:tcBorders>
              <w:top w:val="nil"/>
              <w:left w:val="nil"/>
              <w:bottom w:val="single" w:color="000000" w:sz="4" w:space="0"/>
              <w:right w:val="single" w:color="000000" w:sz="4" w:space="0"/>
            </w:tcBorders>
            <w:shd w:val="clear" w:color="auto" w:fill="auto"/>
            <w:noWrap/>
            <w:vAlign w:val="center"/>
          </w:tcPr>
          <w:p w14:paraId="21277C4D">
            <w:pPr>
              <w:jc w:val="right"/>
              <w:rPr>
                <w:rFonts w:hint="eastAsia" w:ascii="宋体" w:hAnsi="宋体" w:eastAsia="宋体" w:cs="宋体"/>
                <w:i w:val="0"/>
                <w:iCs w:val="0"/>
                <w:color w:val="000000"/>
                <w:sz w:val="18"/>
                <w:szCs w:val="18"/>
                <w:u w:val="none"/>
              </w:rPr>
            </w:pPr>
          </w:p>
        </w:tc>
        <w:tc>
          <w:tcPr>
            <w:tcW w:w="821" w:type="dxa"/>
            <w:tcBorders>
              <w:top w:val="nil"/>
              <w:left w:val="nil"/>
              <w:bottom w:val="single" w:color="000000" w:sz="4" w:space="0"/>
              <w:right w:val="single" w:color="000000" w:sz="4" w:space="0"/>
            </w:tcBorders>
            <w:shd w:val="clear" w:color="auto" w:fill="auto"/>
            <w:noWrap/>
            <w:vAlign w:val="center"/>
          </w:tcPr>
          <w:p w14:paraId="2DAB46CB">
            <w:pPr>
              <w:jc w:val="right"/>
              <w:rPr>
                <w:rFonts w:hint="eastAsia" w:ascii="宋体" w:hAnsi="宋体" w:eastAsia="宋体" w:cs="宋体"/>
                <w:i w:val="0"/>
                <w:iCs w:val="0"/>
                <w:color w:val="000000"/>
                <w:sz w:val="18"/>
                <w:szCs w:val="18"/>
                <w:u w:val="none"/>
              </w:rPr>
            </w:pPr>
          </w:p>
        </w:tc>
        <w:tc>
          <w:tcPr>
            <w:tcW w:w="1063" w:type="dxa"/>
            <w:tcBorders>
              <w:top w:val="nil"/>
              <w:left w:val="nil"/>
              <w:bottom w:val="single" w:color="000000" w:sz="4" w:space="0"/>
              <w:right w:val="single" w:color="000000" w:sz="4" w:space="0"/>
            </w:tcBorders>
            <w:shd w:val="clear" w:color="auto" w:fill="auto"/>
            <w:noWrap/>
            <w:vAlign w:val="center"/>
          </w:tcPr>
          <w:p w14:paraId="5D40361E">
            <w:pPr>
              <w:jc w:val="right"/>
              <w:rPr>
                <w:rFonts w:hint="eastAsia" w:ascii="宋体" w:hAnsi="宋体" w:eastAsia="宋体" w:cs="宋体"/>
                <w:i w:val="0"/>
                <w:iCs w:val="0"/>
                <w:color w:val="000000"/>
                <w:sz w:val="18"/>
                <w:szCs w:val="18"/>
                <w:u w:val="none"/>
              </w:rPr>
            </w:pPr>
          </w:p>
        </w:tc>
      </w:tr>
      <w:tr w14:paraId="2DC7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282AB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政府性基金预算财政拨款</w:t>
            </w:r>
          </w:p>
        </w:tc>
        <w:tc>
          <w:tcPr>
            <w:tcW w:w="602" w:type="dxa"/>
            <w:tcBorders>
              <w:top w:val="nil"/>
              <w:left w:val="nil"/>
              <w:bottom w:val="single" w:color="000000" w:sz="4" w:space="0"/>
              <w:right w:val="single" w:color="000000" w:sz="4" w:space="0"/>
            </w:tcBorders>
            <w:shd w:val="clear" w:color="FFFFFF" w:fill="C0C0C0"/>
            <w:vAlign w:val="center"/>
          </w:tcPr>
          <w:p w14:paraId="08E1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963" w:type="dxa"/>
            <w:tcBorders>
              <w:top w:val="nil"/>
              <w:left w:val="nil"/>
              <w:bottom w:val="single" w:color="000000" w:sz="4" w:space="0"/>
              <w:right w:val="single" w:color="000000" w:sz="4" w:space="0"/>
            </w:tcBorders>
            <w:shd w:val="clear" w:color="auto" w:fill="auto"/>
            <w:vAlign w:val="center"/>
          </w:tcPr>
          <w:p w14:paraId="499897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05" w:type="dxa"/>
            <w:tcBorders>
              <w:top w:val="nil"/>
              <w:left w:val="nil"/>
              <w:bottom w:val="single" w:color="000000" w:sz="4" w:space="0"/>
              <w:right w:val="single" w:color="000000" w:sz="4" w:space="0"/>
            </w:tcBorders>
            <w:shd w:val="clear" w:color="FFFFFF" w:fill="C0C0C0"/>
            <w:vAlign w:val="center"/>
          </w:tcPr>
          <w:p w14:paraId="7ED39125">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7A7B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w:t>
            </w:r>
          </w:p>
        </w:tc>
        <w:tc>
          <w:tcPr>
            <w:tcW w:w="666" w:type="dxa"/>
            <w:tcBorders>
              <w:top w:val="nil"/>
              <w:left w:val="nil"/>
              <w:bottom w:val="single" w:color="000000" w:sz="4" w:space="0"/>
              <w:right w:val="single" w:color="000000" w:sz="4" w:space="0"/>
            </w:tcBorders>
            <w:shd w:val="clear" w:color="auto" w:fill="auto"/>
            <w:noWrap/>
            <w:vAlign w:val="center"/>
          </w:tcPr>
          <w:p w14:paraId="31CCEB4B">
            <w:pPr>
              <w:jc w:val="right"/>
              <w:rPr>
                <w:rFonts w:hint="eastAsia" w:ascii="宋体" w:hAnsi="宋体" w:eastAsia="宋体" w:cs="宋体"/>
                <w:i w:val="0"/>
                <w:iCs w:val="0"/>
                <w:color w:val="000000"/>
                <w:sz w:val="18"/>
                <w:szCs w:val="18"/>
                <w:u w:val="none"/>
              </w:rPr>
            </w:pPr>
          </w:p>
        </w:tc>
        <w:tc>
          <w:tcPr>
            <w:tcW w:w="858" w:type="dxa"/>
            <w:tcBorders>
              <w:top w:val="nil"/>
              <w:left w:val="nil"/>
              <w:bottom w:val="single" w:color="000000" w:sz="4" w:space="0"/>
              <w:right w:val="single" w:color="000000" w:sz="4" w:space="0"/>
            </w:tcBorders>
            <w:shd w:val="clear" w:color="auto" w:fill="auto"/>
            <w:noWrap/>
            <w:vAlign w:val="center"/>
          </w:tcPr>
          <w:p w14:paraId="2348B31E">
            <w:pPr>
              <w:jc w:val="right"/>
              <w:rPr>
                <w:rFonts w:hint="eastAsia" w:ascii="宋体" w:hAnsi="宋体" w:eastAsia="宋体" w:cs="宋体"/>
                <w:i w:val="0"/>
                <w:iCs w:val="0"/>
                <w:color w:val="000000"/>
                <w:sz w:val="18"/>
                <w:szCs w:val="18"/>
                <w:u w:val="none"/>
              </w:rPr>
            </w:pPr>
          </w:p>
        </w:tc>
        <w:tc>
          <w:tcPr>
            <w:tcW w:w="821" w:type="dxa"/>
            <w:tcBorders>
              <w:top w:val="nil"/>
              <w:left w:val="nil"/>
              <w:bottom w:val="single" w:color="000000" w:sz="4" w:space="0"/>
              <w:right w:val="single" w:color="000000" w:sz="4" w:space="0"/>
            </w:tcBorders>
            <w:shd w:val="clear" w:color="auto" w:fill="auto"/>
            <w:noWrap/>
            <w:vAlign w:val="center"/>
          </w:tcPr>
          <w:p w14:paraId="1FA70D2E">
            <w:pPr>
              <w:jc w:val="right"/>
              <w:rPr>
                <w:rFonts w:hint="eastAsia" w:ascii="宋体" w:hAnsi="宋体" w:eastAsia="宋体" w:cs="宋体"/>
                <w:i w:val="0"/>
                <w:iCs w:val="0"/>
                <w:color w:val="000000"/>
                <w:sz w:val="18"/>
                <w:szCs w:val="18"/>
                <w:u w:val="none"/>
              </w:rPr>
            </w:pPr>
          </w:p>
        </w:tc>
        <w:tc>
          <w:tcPr>
            <w:tcW w:w="1063" w:type="dxa"/>
            <w:tcBorders>
              <w:top w:val="nil"/>
              <w:left w:val="nil"/>
              <w:bottom w:val="single" w:color="000000" w:sz="4" w:space="0"/>
              <w:right w:val="single" w:color="000000" w:sz="4" w:space="0"/>
            </w:tcBorders>
            <w:shd w:val="clear" w:color="auto" w:fill="auto"/>
            <w:noWrap/>
            <w:vAlign w:val="center"/>
          </w:tcPr>
          <w:p w14:paraId="4DB5C31D">
            <w:pPr>
              <w:jc w:val="right"/>
              <w:rPr>
                <w:rFonts w:hint="eastAsia" w:ascii="宋体" w:hAnsi="宋体" w:eastAsia="宋体" w:cs="宋体"/>
                <w:i w:val="0"/>
                <w:iCs w:val="0"/>
                <w:color w:val="000000"/>
                <w:sz w:val="18"/>
                <w:szCs w:val="18"/>
                <w:u w:val="none"/>
              </w:rPr>
            </w:pPr>
          </w:p>
        </w:tc>
      </w:tr>
      <w:tr w14:paraId="4C96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42571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国有资本经营预算财政拨款</w:t>
            </w:r>
          </w:p>
        </w:tc>
        <w:tc>
          <w:tcPr>
            <w:tcW w:w="602" w:type="dxa"/>
            <w:tcBorders>
              <w:top w:val="nil"/>
              <w:left w:val="nil"/>
              <w:bottom w:val="single" w:color="000000" w:sz="4" w:space="0"/>
              <w:right w:val="single" w:color="000000" w:sz="4" w:space="0"/>
            </w:tcBorders>
            <w:shd w:val="clear" w:color="FFFFFF" w:fill="C0C0C0"/>
            <w:vAlign w:val="center"/>
          </w:tcPr>
          <w:p w14:paraId="62D73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963" w:type="dxa"/>
            <w:tcBorders>
              <w:top w:val="nil"/>
              <w:left w:val="nil"/>
              <w:bottom w:val="single" w:color="000000" w:sz="4" w:space="0"/>
              <w:right w:val="single" w:color="000000" w:sz="4" w:space="0"/>
            </w:tcBorders>
            <w:shd w:val="clear" w:color="auto" w:fill="auto"/>
            <w:vAlign w:val="center"/>
          </w:tcPr>
          <w:p w14:paraId="63065A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005" w:type="dxa"/>
            <w:tcBorders>
              <w:top w:val="nil"/>
              <w:left w:val="nil"/>
              <w:bottom w:val="single" w:color="000000" w:sz="4" w:space="0"/>
              <w:right w:val="single" w:color="000000" w:sz="4" w:space="0"/>
            </w:tcBorders>
            <w:shd w:val="clear" w:color="FFFFFF" w:fill="C0C0C0"/>
            <w:vAlign w:val="center"/>
          </w:tcPr>
          <w:p w14:paraId="5521513C">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7003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w:t>
            </w:r>
          </w:p>
        </w:tc>
        <w:tc>
          <w:tcPr>
            <w:tcW w:w="666" w:type="dxa"/>
            <w:tcBorders>
              <w:top w:val="nil"/>
              <w:left w:val="nil"/>
              <w:bottom w:val="single" w:color="000000" w:sz="4" w:space="0"/>
              <w:right w:val="single" w:color="000000" w:sz="4" w:space="0"/>
            </w:tcBorders>
            <w:shd w:val="clear" w:color="auto" w:fill="auto"/>
            <w:noWrap/>
            <w:vAlign w:val="center"/>
          </w:tcPr>
          <w:p w14:paraId="2D726ECD">
            <w:pPr>
              <w:jc w:val="right"/>
              <w:rPr>
                <w:rFonts w:hint="eastAsia" w:ascii="宋体" w:hAnsi="宋体" w:eastAsia="宋体" w:cs="宋体"/>
                <w:i w:val="0"/>
                <w:iCs w:val="0"/>
                <w:color w:val="000000"/>
                <w:sz w:val="18"/>
                <w:szCs w:val="18"/>
                <w:u w:val="none"/>
              </w:rPr>
            </w:pPr>
          </w:p>
        </w:tc>
        <w:tc>
          <w:tcPr>
            <w:tcW w:w="858" w:type="dxa"/>
            <w:tcBorders>
              <w:top w:val="nil"/>
              <w:left w:val="nil"/>
              <w:bottom w:val="single" w:color="000000" w:sz="4" w:space="0"/>
              <w:right w:val="single" w:color="000000" w:sz="4" w:space="0"/>
            </w:tcBorders>
            <w:shd w:val="clear" w:color="auto" w:fill="auto"/>
            <w:noWrap/>
            <w:vAlign w:val="center"/>
          </w:tcPr>
          <w:p w14:paraId="3FF409D5">
            <w:pPr>
              <w:jc w:val="right"/>
              <w:rPr>
                <w:rFonts w:hint="eastAsia" w:ascii="宋体" w:hAnsi="宋体" w:eastAsia="宋体" w:cs="宋体"/>
                <w:i w:val="0"/>
                <w:iCs w:val="0"/>
                <w:color w:val="000000"/>
                <w:sz w:val="18"/>
                <w:szCs w:val="18"/>
                <w:u w:val="none"/>
              </w:rPr>
            </w:pPr>
          </w:p>
        </w:tc>
        <w:tc>
          <w:tcPr>
            <w:tcW w:w="821" w:type="dxa"/>
            <w:tcBorders>
              <w:top w:val="nil"/>
              <w:left w:val="nil"/>
              <w:bottom w:val="single" w:color="000000" w:sz="4" w:space="0"/>
              <w:right w:val="single" w:color="000000" w:sz="4" w:space="0"/>
            </w:tcBorders>
            <w:shd w:val="clear" w:color="auto" w:fill="auto"/>
            <w:noWrap/>
            <w:vAlign w:val="center"/>
          </w:tcPr>
          <w:p w14:paraId="02CE0901">
            <w:pPr>
              <w:jc w:val="right"/>
              <w:rPr>
                <w:rFonts w:hint="eastAsia" w:ascii="宋体" w:hAnsi="宋体" w:eastAsia="宋体" w:cs="宋体"/>
                <w:i w:val="0"/>
                <w:iCs w:val="0"/>
                <w:color w:val="000000"/>
                <w:sz w:val="18"/>
                <w:szCs w:val="18"/>
                <w:u w:val="none"/>
              </w:rPr>
            </w:pPr>
          </w:p>
        </w:tc>
        <w:tc>
          <w:tcPr>
            <w:tcW w:w="1063" w:type="dxa"/>
            <w:tcBorders>
              <w:top w:val="nil"/>
              <w:left w:val="nil"/>
              <w:bottom w:val="single" w:color="000000" w:sz="4" w:space="0"/>
              <w:right w:val="single" w:color="000000" w:sz="4" w:space="0"/>
            </w:tcBorders>
            <w:shd w:val="clear" w:color="auto" w:fill="auto"/>
            <w:noWrap/>
            <w:vAlign w:val="center"/>
          </w:tcPr>
          <w:p w14:paraId="131758A1">
            <w:pPr>
              <w:jc w:val="right"/>
              <w:rPr>
                <w:rFonts w:hint="eastAsia" w:ascii="宋体" w:hAnsi="宋体" w:eastAsia="宋体" w:cs="宋体"/>
                <w:i w:val="0"/>
                <w:iCs w:val="0"/>
                <w:color w:val="000000"/>
                <w:sz w:val="18"/>
                <w:szCs w:val="18"/>
                <w:u w:val="none"/>
              </w:rPr>
            </w:pPr>
          </w:p>
        </w:tc>
      </w:tr>
      <w:tr w14:paraId="2ADA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678" w:type="dxa"/>
            <w:tcBorders>
              <w:top w:val="nil"/>
              <w:left w:val="single" w:color="000000" w:sz="4" w:space="0"/>
              <w:bottom w:val="single" w:color="000000" w:sz="4" w:space="0"/>
              <w:right w:val="single" w:color="000000" w:sz="4" w:space="0"/>
            </w:tcBorders>
            <w:shd w:val="clear" w:color="FFFFFF" w:fill="C0C0C0"/>
            <w:vAlign w:val="center"/>
          </w:tcPr>
          <w:p w14:paraId="368A40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602" w:type="dxa"/>
            <w:tcBorders>
              <w:top w:val="nil"/>
              <w:left w:val="nil"/>
              <w:bottom w:val="single" w:color="000000" w:sz="4" w:space="0"/>
              <w:right w:val="single" w:color="000000" w:sz="4" w:space="0"/>
            </w:tcBorders>
            <w:shd w:val="clear" w:color="FFFFFF" w:fill="C0C0C0"/>
            <w:vAlign w:val="center"/>
          </w:tcPr>
          <w:p w14:paraId="3C40C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963" w:type="dxa"/>
            <w:tcBorders>
              <w:top w:val="nil"/>
              <w:left w:val="nil"/>
              <w:bottom w:val="single" w:color="000000" w:sz="4" w:space="0"/>
              <w:right w:val="single" w:color="000000" w:sz="4" w:space="0"/>
            </w:tcBorders>
            <w:shd w:val="clear" w:color="auto" w:fill="auto"/>
            <w:vAlign w:val="center"/>
          </w:tcPr>
          <w:p w14:paraId="54F5C3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3005" w:type="dxa"/>
            <w:tcBorders>
              <w:top w:val="nil"/>
              <w:left w:val="nil"/>
              <w:bottom w:val="single" w:color="000000" w:sz="4" w:space="0"/>
              <w:right w:val="single" w:color="000000" w:sz="4" w:space="0"/>
            </w:tcBorders>
            <w:shd w:val="clear" w:color="FFFFFF" w:fill="C0C0C0"/>
            <w:vAlign w:val="center"/>
          </w:tcPr>
          <w:p w14:paraId="1C5666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14:paraId="7FFC1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w:t>
            </w:r>
          </w:p>
        </w:tc>
        <w:tc>
          <w:tcPr>
            <w:tcW w:w="666" w:type="dxa"/>
            <w:tcBorders>
              <w:top w:val="nil"/>
              <w:left w:val="nil"/>
              <w:bottom w:val="single" w:color="000000" w:sz="4" w:space="0"/>
              <w:right w:val="single" w:color="000000" w:sz="4" w:space="0"/>
            </w:tcBorders>
            <w:shd w:val="clear" w:color="auto" w:fill="auto"/>
            <w:noWrap/>
            <w:vAlign w:val="center"/>
          </w:tcPr>
          <w:p w14:paraId="56C17F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858" w:type="dxa"/>
            <w:tcBorders>
              <w:top w:val="nil"/>
              <w:left w:val="nil"/>
              <w:bottom w:val="single" w:color="000000" w:sz="4" w:space="0"/>
              <w:right w:val="single" w:color="000000" w:sz="4" w:space="0"/>
            </w:tcBorders>
            <w:shd w:val="clear" w:color="auto" w:fill="auto"/>
            <w:noWrap/>
            <w:vAlign w:val="center"/>
          </w:tcPr>
          <w:p w14:paraId="666BCF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797.56</w:t>
            </w:r>
          </w:p>
        </w:tc>
        <w:tc>
          <w:tcPr>
            <w:tcW w:w="821" w:type="dxa"/>
            <w:tcBorders>
              <w:top w:val="nil"/>
              <w:left w:val="nil"/>
              <w:bottom w:val="single" w:color="000000" w:sz="4" w:space="0"/>
              <w:right w:val="single" w:color="000000" w:sz="4" w:space="0"/>
            </w:tcBorders>
            <w:shd w:val="clear" w:color="auto" w:fill="auto"/>
            <w:noWrap/>
            <w:vAlign w:val="center"/>
          </w:tcPr>
          <w:p w14:paraId="587AA8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063" w:type="dxa"/>
            <w:tcBorders>
              <w:top w:val="nil"/>
              <w:left w:val="nil"/>
              <w:bottom w:val="single" w:color="000000" w:sz="4" w:space="0"/>
              <w:right w:val="single" w:color="000000" w:sz="4" w:space="0"/>
            </w:tcBorders>
            <w:shd w:val="clear" w:color="auto" w:fill="auto"/>
            <w:noWrap/>
            <w:vAlign w:val="center"/>
          </w:tcPr>
          <w:p w14:paraId="70E679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14:paraId="7AD9DFF3">
      <w:pPr>
        <w:rPr>
          <w:rFonts w:ascii="Arial"/>
          <w:color w:val="auto"/>
          <w:sz w:val="21"/>
        </w:rPr>
      </w:pPr>
      <w:r>
        <w:rPr>
          <w:rFonts w:hint="eastAsia" w:ascii="Arial"/>
          <w:color w:val="auto"/>
          <w:sz w:val="21"/>
        </w:rPr>
        <w:t>注：本表反映部门本年度一般公共预算财政拨款、政府性基金预算财政拨款和国有资本经营预算财政拨款的总收支和年末结转结余情况。</w:t>
      </w:r>
    </w:p>
    <w:p w14:paraId="5FAD6745">
      <w:pPr>
        <w:rPr>
          <w:rFonts w:ascii="Arial" w:hAnsi="Arial" w:eastAsia="Arial" w:cs="Arial"/>
          <w:color w:val="auto"/>
          <w:sz w:val="21"/>
          <w:szCs w:val="21"/>
        </w:rPr>
        <w:sectPr>
          <w:footerReference r:id="rId9" w:type="default"/>
          <w:pgSz w:w="11906" w:h="16839"/>
          <w:pgMar w:top="584" w:right="284" w:bottom="915" w:left="717" w:header="0" w:footer="994" w:gutter="0"/>
          <w:pgBorders>
            <w:top w:val="none" w:sz="0" w:space="0"/>
            <w:left w:val="none" w:sz="0" w:space="0"/>
            <w:bottom w:val="none" w:sz="0" w:space="0"/>
            <w:right w:val="none" w:sz="0" w:space="0"/>
          </w:pgBorders>
          <w:cols w:space="720" w:num="1"/>
        </w:sectPr>
      </w:pPr>
    </w:p>
    <w:p w14:paraId="794D5B1C">
      <w:pPr>
        <w:spacing w:line="165" w:lineRule="exact"/>
        <w:rPr>
          <w:rFonts w:ascii="Arial"/>
          <w:color w:val="auto"/>
          <w:sz w:val="14"/>
        </w:rPr>
      </w:pPr>
    </w:p>
    <w:p w14:paraId="328B3085">
      <w:pPr>
        <w:pStyle w:val="2"/>
        <w:spacing w:before="101" w:line="226" w:lineRule="auto"/>
        <w:ind w:left="681"/>
        <w:outlineLvl w:val="0"/>
        <w:rPr>
          <w:color w:val="auto"/>
        </w:rPr>
      </w:pPr>
      <w:r>
        <w:rPr>
          <w:color w:val="auto"/>
          <w:spacing w:val="8"/>
        </w:rPr>
        <w:t>五、一般公共预算财政拨款支出决算表</w:t>
      </w:r>
    </w:p>
    <w:p w14:paraId="15F9A06E">
      <w:pPr>
        <w:spacing w:before="150" w:line="219" w:lineRule="auto"/>
        <w:ind w:left="2892"/>
        <w:outlineLvl w:val="1"/>
        <w:rPr>
          <w:rFonts w:ascii="宋体" w:hAnsi="宋体" w:eastAsia="宋体" w:cs="宋体"/>
          <w:color w:val="auto"/>
          <w:sz w:val="30"/>
          <w:szCs w:val="30"/>
        </w:rPr>
      </w:pPr>
      <w:r>
        <w:rPr>
          <w:rFonts w:ascii="宋体" w:hAnsi="宋体" w:eastAsia="宋体" w:cs="宋体"/>
          <w:color w:val="auto"/>
          <w:spacing w:val="-2"/>
          <w:sz w:val="30"/>
          <w:szCs w:val="30"/>
        </w:rPr>
        <w:t>一般公共预算财政拨款支出决算表</w:t>
      </w:r>
    </w:p>
    <w:p w14:paraId="767CF22C">
      <w:pPr>
        <w:spacing w:before="161" w:line="230" w:lineRule="auto"/>
        <w:ind w:left="9249"/>
        <w:rPr>
          <w:rFonts w:ascii="宋体" w:hAnsi="宋体" w:eastAsia="宋体" w:cs="宋体"/>
          <w:color w:val="auto"/>
          <w:sz w:val="19"/>
          <w:szCs w:val="19"/>
        </w:rPr>
      </w:pPr>
      <w:r>
        <w:rPr>
          <w:rFonts w:ascii="宋体" w:hAnsi="宋体" w:eastAsia="宋体" w:cs="宋体"/>
          <w:color w:val="auto"/>
          <w:spacing w:val="1"/>
          <w:sz w:val="19"/>
          <w:szCs w:val="19"/>
        </w:rPr>
        <w:t>公开</w:t>
      </w:r>
      <w:r>
        <w:rPr>
          <w:rFonts w:ascii="宋体" w:hAnsi="宋体" w:eastAsia="宋体" w:cs="宋体"/>
          <w:color w:val="auto"/>
          <w:spacing w:val="-32"/>
          <w:sz w:val="19"/>
          <w:szCs w:val="19"/>
        </w:rPr>
        <w:t xml:space="preserve"> </w:t>
      </w:r>
      <w:r>
        <w:rPr>
          <w:rFonts w:ascii="宋体" w:hAnsi="宋体" w:eastAsia="宋体" w:cs="宋体"/>
          <w:color w:val="auto"/>
          <w:spacing w:val="1"/>
          <w:sz w:val="19"/>
          <w:szCs w:val="19"/>
        </w:rPr>
        <w:t>05</w:t>
      </w:r>
      <w:r>
        <w:rPr>
          <w:rFonts w:ascii="宋体" w:hAnsi="宋体" w:eastAsia="宋体" w:cs="宋体"/>
          <w:color w:val="auto"/>
          <w:spacing w:val="-39"/>
          <w:sz w:val="19"/>
          <w:szCs w:val="19"/>
        </w:rPr>
        <w:t xml:space="preserve"> </w:t>
      </w:r>
      <w:r>
        <w:rPr>
          <w:rFonts w:ascii="宋体" w:hAnsi="宋体" w:eastAsia="宋体" w:cs="宋体"/>
          <w:color w:val="auto"/>
          <w:spacing w:val="1"/>
          <w:sz w:val="19"/>
          <w:szCs w:val="19"/>
        </w:rPr>
        <w:t>表</w:t>
      </w:r>
    </w:p>
    <w:p w14:paraId="69C3F6A2">
      <w:pPr>
        <w:spacing w:before="78" w:line="227" w:lineRule="auto"/>
        <w:ind w:left="123"/>
        <w:rPr>
          <w:rFonts w:ascii="宋体" w:hAnsi="宋体" w:eastAsia="宋体" w:cs="宋体"/>
          <w:color w:val="auto"/>
          <w:sz w:val="19"/>
          <w:szCs w:val="19"/>
        </w:rPr>
      </w:pPr>
      <w:r>
        <w:rPr>
          <w:rFonts w:ascii="宋体" w:hAnsi="宋体" w:eastAsia="宋体" w:cs="宋体"/>
          <w:color w:val="auto"/>
          <w:spacing w:val="7"/>
          <w:sz w:val="19"/>
          <w:szCs w:val="19"/>
        </w:rPr>
        <w:t xml:space="preserve">部门：鄂州市自然资源和规划局鄂城分局                                          </w:t>
      </w:r>
      <w:r>
        <w:rPr>
          <w:rFonts w:ascii="宋体" w:hAnsi="宋体" w:eastAsia="宋体" w:cs="宋体"/>
          <w:color w:val="auto"/>
          <w:spacing w:val="6"/>
          <w:sz w:val="19"/>
          <w:szCs w:val="19"/>
        </w:rPr>
        <w:t xml:space="preserve">        金额单位：万元</w:t>
      </w:r>
    </w:p>
    <w:p w14:paraId="276E9F80">
      <w:pPr>
        <w:spacing w:line="21" w:lineRule="exact"/>
        <w:rPr>
          <w:color w:val="auto"/>
        </w:rPr>
      </w:pPr>
    </w:p>
    <w:p w14:paraId="064E5A65">
      <w:pPr>
        <w:rPr>
          <w:rFonts w:ascii="Arial"/>
          <w:color w:val="auto"/>
          <w:sz w:val="21"/>
        </w:rPr>
      </w:pPr>
    </w:p>
    <w:tbl>
      <w:tblPr>
        <w:tblStyle w:val="5"/>
        <w:tblW w:w="99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136"/>
        <w:gridCol w:w="3094"/>
        <w:gridCol w:w="1824"/>
        <w:gridCol w:w="1956"/>
        <w:gridCol w:w="1944"/>
      </w:tblGrid>
      <w:tr w14:paraId="4A1A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4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F961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724" w:type="dxa"/>
            <w:gridSpan w:val="3"/>
            <w:tcBorders>
              <w:top w:val="single" w:color="000000" w:sz="4" w:space="0"/>
              <w:left w:val="nil"/>
              <w:bottom w:val="single" w:color="000000" w:sz="4" w:space="0"/>
              <w:right w:val="single" w:color="000000" w:sz="4" w:space="0"/>
            </w:tcBorders>
            <w:shd w:val="clear" w:color="FFFFFF" w:fill="C0C0C0"/>
            <w:vAlign w:val="center"/>
          </w:tcPr>
          <w:p w14:paraId="66F96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w:t>
            </w:r>
          </w:p>
        </w:tc>
      </w:tr>
      <w:tr w14:paraId="348A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vMerge w:val="restart"/>
            <w:tcBorders>
              <w:top w:val="nil"/>
              <w:left w:val="single" w:color="000000" w:sz="4" w:space="0"/>
              <w:bottom w:val="single" w:color="000000" w:sz="4" w:space="0"/>
              <w:right w:val="single" w:color="000000" w:sz="4" w:space="0"/>
            </w:tcBorders>
            <w:shd w:val="clear" w:color="FFFFFF" w:fill="C0C0C0"/>
            <w:vAlign w:val="center"/>
          </w:tcPr>
          <w:p w14:paraId="4ABB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科目代码</w:t>
            </w:r>
          </w:p>
        </w:tc>
        <w:tc>
          <w:tcPr>
            <w:tcW w:w="3230" w:type="dxa"/>
            <w:gridSpan w:val="2"/>
            <w:vMerge w:val="restart"/>
            <w:tcBorders>
              <w:top w:val="nil"/>
              <w:left w:val="nil"/>
              <w:bottom w:val="single" w:color="000000" w:sz="4" w:space="0"/>
              <w:right w:val="single" w:color="000000" w:sz="4" w:space="0"/>
            </w:tcBorders>
            <w:shd w:val="clear" w:color="FFFFFF" w:fill="C0C0C0"/>
            <w:noWrap/>
            <w:vAlign w:val="center"/>
          </w:tcPr>
          <w:p w14:paraId="6F3AF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824" w:type="dxa"/>
            <w:vMerge w:val="restart"/>
            <w:tcBorders>
              <w:top w:val="nil"/>
              <w:left w:val="nil"/>
              <w:bottom w:val="single" w:color="000000" w:sz="4" w:space="0"/>
              <w:right w:val="single" w:color="000000" w:sz="4" w:space="0"/>
            </w:tcBorders>
            <w:shd w:val="clear" w:color="FFFFFF" w:fill="C0C0C0"/>
            <w:vAlign w:val="center"/>
          </w:tcPr>
          <w:p w14:paraId="632C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1956" w:type="dxa"/>
            <w:vMerge w:val="restart"/>
            <w:tcBorders>
              <w:top w:val="nil"/>
              <w:left w:val="nil"/>
              <w:bottom w:val="single" w:color="000000" w:sz="4" w:space="0"/>
              <w:right w:val="single" w:color="000000" w:sz="4" w:space="0"/>
            </w:tcBorders>
            <w:shd w:val="clear" w:color="FFFFFF" w:fill="C0C0C0"/>
            <w:vAlign w:val="center"/>
          </w:tcPr>
          <w:p w14:paraId="68274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944" w:type="dxa"/>
            <w:vMerge w:val="restart"/>
            <w:tcBorders>
              <w:top w:val="nil"/>
              <w:left w:val="nil"/>
              <w:bottom w:val="single" w:color="000000" w:sz="4" w:space="0"/>
              <w:right w:val="single" w:color="000000" w:sz="4" w:space="0"/>
            </w:tcBorders>
            <w:shd w:val="clear" w:color="FFFFFF" w:fill="C0C0C0"/>
            <w:vAlign w:val="center"/>
          </w:tcPr>
          <w:p w14:paraId="318F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r>
      <w:tr w14:paraId="641D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17" w:type="dxa"/>
            <w:vMerge w:val="continue"/>
            <w:tcBorders>
              <w:top w:val="nil"/>
              <w:left w:val="single" w:color="000000" w:sz="4" w:space="0"/>
              <w:bottom w:val="single" w:color="000000" w:sz="4" w:space="0"/>
              <w:right w:val="single" w:color="000000" w:sz="4" w:space="0"/>
            </w:tcBorders>
            <w:shd w:val="clear" w:color="FFFFFF" w:fill="C0C0C0"/>
            <w:vAlign w:val="center"/>
          </w:tcPr>
          <w:p w14:paraId="27C12FD0">
            <w:pPr>
              <w:jc w:val="center"/>
              <w:rPr>
                <w:rFonts w:hint="eastAsia" w:ascii="宋体" w:hAnsi="宋体" w:eastAsia="宋体" w:cs="宋体"/>
                <w:i w:val="0"/>
                <w:iCs w:val="0"/>
                <w:color w:val="000000"/>
                <w:sz w:val="22"/>
                <w:szCs w:val="22"/>
                <w:u w:val="none"/>
              </w:rPr>
            </w:pPr>
          </w:p>
        </w:tc>
        <w:tc>
          <w:tcPr>
            <w:tcW w:w="3230" w:type="dxa"/>
            <w:gridSpan w:val="2"/>
            <w:vMerge w:val="continue"/>
            <w:tcBorders>
              <w:top w:val="nil"/>
              <w:left w:val="nil"/>
              <w:bottom w:val="single" w:color="000000" w:sz="4" w:space="0"/>
              <w:right w:val="single" w:color="000000" w:sz="4" w:space="0"/>
            </w:tcBorders>
            <w:shd w:val="clear" w:color="FFFFFF" w:fill="C0C0C0"/>
            <w:noWrap/>
            <w:vAlign w:val="center"/>
          </w:tcPr>
          <w:p w14:paraId="0DEAF1DE">
            <w:pPr>
              <w:jc w:val="center"/>
              <w:rPr>
                <w:rFonts w:hint="eastAsia" w:ascii="宋体" w:hAnsi="宋体" w:eastAsia="宋体" w:cs="宋体"/>
                <w:i w:val="0"/>
                <w:iCs w:val="0"/>
                <w:color w:val="000000"/>
                <w:sz w:val="22"/>
                <w:szCs w:val="22"/>
                <w:u w:val="none"/>
              </w:rPr>
            </w:pPr>
          </w:p>
        </w:tc>
        <w:tc>
          <w:tcPr>
            <w:tcW w:w="1824" w:type="dxa"/>
            <w:vMerge w:val="continue"/>
            <w:tcBorders>
              <w:top w:val="nil"/>
              <w:left w:val="nil"/>
              <w:bottom w:val="single" w:color="000000" w:sz="4" w:space="0"/>
              <w:right w:val="single" w:color="000000" w:sz="4" w:space="0"/>
            </w:tcBorders>
            <w:shd w:val="clear" w:color="FFFFFF" w:fill="C0C0C0"/>
            <w:vAlign w:val="center"/>
          </w:tcPr>
          <w:p w14:paraId="2CF64B26">
            <w:pPr>
              <w:jc w:val="center"/>
              <w:rPr>
                <w:rFonts w:hint="eastAsia" w:ascii="宋体" w:hAnsi="宋体" w:eastAsia="宋体" w:cs="宋体"/>
                <w:i w:val="0"/>
                <w:iCs w:val="0"/>
                <w:color w:val="000000"/>
                <w:sz w:val="22"/>
                <w:szCs w:val="22"/>
                <w:u w:val="none"/>
              </w:rPr>
            </w:pPr>
          </w:p>
        </w:tc>
        <w:tc>
          <w:tcPr>
            <w:tcW w:w="1956" w:type="dxa"/>
            <w:vMerge w:val="continue"/>
            <w:tcBorders>
              <w:top w:val="nil"/>
              <w:left w:val="nil"/>
              <w:bottom w:val="single" w:color="000000" w:sz="4" w:space="0"/>
              <w:right w:val="single" w:color="000000" w:sz="4" w:space="0"/>
            </w:tcBorders>
            <w:shd w:val="clear" w:color="FFFFFF" w:fill="C0C0C0"/>
            <w:vAlign w:val="center"/>
          </w:tcPr>
          <w:p w14:paraId="5971E51D">
            <w:pPr>
              <w:jc w:val="center"/>
              <w:rPr>
                <w:rFonts w:hint="eastAsia" w:ascii="宋体" w:hAnsi="宋体" w:eastAsia="宋体" w:cs="宋体"/>
                <w:i w:val="0"/>
                <w:iCs w:val="0"/>
                <w:color w:val="000000"/>
                <w:sz w:val="22"/>
                <w:szCs w:val="22"/>
                <w:u w:val="none"/>
              </w:rPr>
            </w:pPr>
          </w:p>
        </w:tc>
        <w:tc>
          <w:tcPr>
            <w:tcW w:w="1944" w:type="dxa"/>
            <w:vMerge w:val="continue"/>
            <w:tcBorders>
              <w:top w:val="nil"/>
              <w:left w:val="nil"/>
              <w:bottom w:val="single" w:color="000000" w:sz="4" w:space="0"/>
              <w:right w:val="single" w:color="000000" w:sz="4" w:space="0"/>
            </w:tcBorders>
            <w:shd w:val="clear" w:color="FFFFFF" w:fill="C0C0C0"/>
            <w:vAlign w:val="center"/>
          </w:tcPr>
          <w:p w14:paraId="1A6AE8E3">
            <w:pPr>
              <w:jc w:val="center"/>
              <w:rPr>
                <w:rFonts w:hint="eastAsia" w:ascii="宋体" w:hAnsi="宋体" w:eastAsia="宋体" w:cs="宋体"/>
                <w:i w:val="0"/>
                <w:iCs w:val="0"/>
                <w:color w:val="000000"/>
                <w:sz w:val="22"/>
                <w:szCs w:val="22"/>
                <w:u w:val="none"/>
              </w:rPr>
            </w:pPr>
          </w:p>
        </w:tc>
      </w:tr>
      <w:tr w14:paraId="7E69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7" w:type="dxa"/>
            <w:vMerge w:val="continue"/>
            <w:tcBorders>
              <w:top w:val="nil"/>
              <w:left w:val="single" w:color="000000" w:sz="4" w:space="0"/>
              <w:bottom w:val="single" w:color="000000" w:sz="4" w:space="0"/>
              <w:right w:val="single" w:color="000000" w:sz="4" w:space="0"/>
            </w:tcBorders>
            <w:shd w:val="clear" w:color="FFFFFF" w:fill="C0C0C0"/>
            <w:vAlign w:val="center"/>
          </w:tcPr>
          <w:p w14:paraId="1A28D4DD">
            <w:pPr>
              <w:jc w:val="center"/>
              <w:rPr>
                <w:rFonts w:hint="eastAsia" w:ascii="宋体" w:hAnsi="宋体" w:eastAsia="宋体" w:cs="宋体"/>
                <w:i w:val="0"/>
                <w:iCs w:val="0"/>
                <w:color w:val="000000"/>
                <w:sz w:val="22"/>
                <w:szCs w:val="22"/>
                <w:u w:val="none"/>
              </w:rPr>
            </w:pPr>
          </w:p>
        </w:tc>
        <w:tc>
          <w:tcPr>
            <w:tcW w:w="3230" w:type="dxa"/>
            <w:gridSpan w:val="2"/>
            <w:vMerge w:val="continue"/>
            <w:tcBorders>
              <w:top w:val="nil"/>
              <w:left w:val="nil"/>
              <w:bottom w:val="single" w:color="000000" w:sz="4" w:space="0"/>
              <w:right w:val="single" w:color="000000" w:sz="4" w:space="0"/>
            </w:tcBorders>
            <w:shd w:val="clear" w:color="FFFFFF" w:fill="C0C0C0"/>
            <w:noWrap/>
            <w:vAlign w:val="center"/>
          </w:tcPr>
          <w:p w14:paraId="47B678CA">
            <w:pPr>
              <w:jc w:val="center"/>
              <w:rPr>
                <w:rFonts w:hint="eastAsia" w:ascii="宋体" w:hAnsi="宋体" w:eastAsia="宋体" w:cs="宋体"/>
                <w:i w:val="0"/>
                <w:iCs w:val="0"/>
                <w:color w:val="000000"/>
                <w:sz w:val="22"/>
                <w:szCs w:val="22"/>
                <w:u w:val="none"/>
              </w:rPr>
            </w:pPr>
          </w:p>
        </w:tc>
        <w:tc>
          <w:tcPr>
            <w:tcW w:w="1824" w:type="dxa"/>
            <w:vMerge w:val="continue"/>
            <w:tcBorders>
              <w:top w:val="nil"/>
              <w:left w:val="nil"/>
              <w:bottom w:val="single" w:color="000000" w:sz="4" w:space="0"/>
              <w:right w:val="single" w:color="000000" w:sz="4" w:space="0"/>
            </w:tcBorders>
            <w:shd w:val="clear" w:color="FFFFFF" w:fill="C0C0C0"/>
            <w:vAlign w:val="center"/>
          </w:tcPr>
          <w:p w14:paraId="2E0EA0BF">
            <w:pPr>
              <w:jc w:val="center"/>
              <w:rPr>
                <w:rFonts w:hint="eastAsia" w:ascii="宋体" w:hAnsi="宋体" w:eastAsia="宋体" w:cs="宋体"/>
                <w:i w:val="0"/>
                <w:iCs w:val="0"/>
                <w:color w:val="000000"/>
                <w:sz w:val="22"/>
                <w:szCs w:val="22"/>
                <w:u w:val="none"/>
              </w:rPr>
            </w:pPr>
          </w:p>
        </w:tc>
        <w:tc>
          <w:tcPr>
            <w:tcW w:w="1956" w:type="dxa"/>
            <w:vMerge w:val="continue"/>
            <w:tcBorders>
              <w:top w:val="nil"/>
              <w:left w:val="nil"/>
              <w:bottom w:val="single" w:color="000000" w:sz="4" w:space="0"/>
              <w:right w:val="single" w:color="000000" w:sz="4" w:space="0"/>
            </w:tcBorders>
            <w:shd w:val="clear" w:color="FFFFFF" w:fill="C0C0C0"/>
            <w:vAlign w:val="center"/>
          </w:tcPr>
          <w:p w14:paraId="7AFAC6DE">
            <w:pPr>
              <w:jc w:val="center"/>
              <w:rPr>
                <w:rFonts w:hint="eastAsia" w:ascii="宋体" w:hAnsi="宋体" w:eastAsia="宋体" w:cs="宋体"/>
                <w:i w:val="0"/>
                <w:iCs w:val="0"/>
                <w:color w:val="000000"/>
                <w:sz w:val="22"/>
                <w:szCs w:val="22"/>
                <w:u w:val="none"/>
              </w:rPr>
            </w:pPr>
          </w:p>
        </w:tc>
        <w:tc>
          <w:tcPr>
            <w:tcW w:w="1944" w:type="dxa"/>
            <w:vMerge w:val="continue"/>
            <w:tcBorders>
              <w:top w:val="nil"/>
              <w:left w:val="nil"/>
              <w:bottom w:val="single" w:color="000000" w:sz="4" w:space="0"/>
              <w:right w:val="single" w:color="000000" w:sz="4" w:space="0"/>
            </w:tcBorders>
            <w:shd w:val="clear" w:color="FFFFFF" w:fill="C0C0C0"/>
            <w:vAlign w:val="center"/>
          </w:tcPr>
          <w:p w14:paraId="4BF8E4CC">
            <w:pPr>
              <w:jc w:val="center"/>
              <w:rPr>
                <w:rFonts w:hint="eastAsia" w:ascii="宋体" w:hAnsi="宋体" w:eastAsia="宋体" w:cs="宋体"/>
                <w:i w:val="0"/>
                <w:iCs w:val="0"/>
                <w:color w:val="000000"/>
                <w:sz w:val="22"/>
                <w:szCs w:val="22"/>
                <w:u w:val="none"/>
              </w:rPr>
            </w:pPr>
          </w:p>
        </w:tc>
      </w:tr>
      <w:tr w14:paraId="697F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47" w:type="dxa"/>
            <w:gridSpan w:val="3"/>
            <w:tcBorders>
              <w:top w:val="nil"/>
              <w:left w:val="single" w:color="000000" w:sz="4" w:space="0"/>
              <w:bottom w:val="single" w:color="000000" w:sz="4" w:space="0"/>
              <w:right w:val="single" w:color="000000" w:sz="4" w:space="0"/>
            </w:tcBorders>
            <w:shd w:val="clear" w:color="FFFFFF" w:fill="C0C0C0"/>
            <w:noWrap/>
            <w:vAlign w:val="center"/>
          </w:tcPr>
          <w:p w14:paraId="6121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824" w:type="dxa"/>
            <w:tcBorders>
              <w:top w:val="nil"/>
              <w:left w:val="nil"/>
              <w:bottom w:val="single" w:color="000000" w:sz="4" w:space="0"/>
              <w:right w:val="single" w:color="000000" w:sz="4" w:space="0"/>
            </w:tcBorders>
            <w:shd w:val="clear" w:color="FFFFFF" w:fill="C0C0C0"/>
            <w:noWrap/>
            <w:vAlign w:val="center"/>
          </w:tcPr>
          <w:p w14:paraId="77B60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956" w:type="dxa"/>
            <w:tcBorders>
              <w:top w:val="nil"/>
              <w:left w:val="nil"/>
              <w:bottom w:val="single" w:color="000000" w:sz="4" w:space="0"/>
              <w:right w:val="single" w:color="000000" w:sz="4" w:space="0"/>
            </w:tcBorders>
            <w:shd w:val="clear" w:color="FFFFFF" w:fill="C0C0C0"/>
            <w:noWrap/>
            <w:vAlign w:val="center"/>
          </w:tcPr>
          <w:p w14:paraId="6BD86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944" w:type="dxa"/>
            <w:tcBorders>
              <w:top w:val="nil"/>
              <w:left w:val="nil"/>
              <w:bottom w:val="single" w:color="000000" w:sz="4" w:space="0"/>
              <w:right w:val="single" w:color="000000" w:sz="4" w:space="0"/>
            </w:tcBorders>
            <w:shd w:val="clear" w:color="FFFFFF" w:fill="C0C0C0"/>
            <w:noWrap/>
            <w:vAlign w:val="center"/>
          </w:tcPr>
          <w:p w14:paraId="21079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14:paraId="3F2F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247" w:type="dxa"/>
            <w:gridSpan w:val="3"/>
            <w:tcBorders>
              <w:top w:val="nil"/>
              <w:left w:val="single" w:color="000000" w:sz="4" w:space="0"/>
              <w:bottom w:val="single" w:color="000000" w:sz="4" w:space="0"/>
              <w:right w:val="single" w:color="000000" w:sz="4" w:space="0"/>
            </w:tcBorders>
            <w:shd w:val="clear" w:color="FFFFFF" w:fill="C0C0C0"/>
            <w:noWrap/>
            <w:vAlign w:val="center"/>
          </w:tcPr>
          <w:p w14:paraId="029D6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824" w:type="dxa"/>
            <w:tcBorders>
              <w:top w:val="nil"/>
              <w:left w:val="nil"/>
              <w:bottom w:val="single" w:color="000000" w:sz="4" w:space="0"/>
              <w:right w:val="single" w:color="000000" w:sz="4" w:space="0"/>
            </w:tcBorders>
            <w:shd w:val="clear" w:color="auto" w:fill="auto"/>
            <w:noWrap/>
            <w:vAlign w:val="center"/>
          </w:tcPr>
          <w:p w14:paraId="021C00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797.56</w:t>
            </w:r>
          </w:p>
        </w:tc>
        <w:tc>
          <w:tcPr>
            <w:tcW w:w="1956" w:type="dxa"/>
            <w:tcBorders>
              <w:top w:val="nil"/>
              <w:left w:val="nil"/>
              <w:bottom w:val="single" w:color="000000" w:sz="4" w:space="0"/>
              <w:right w:val="single" w:color="000000" w:sz="4" w:space="0"/>
            </w:tcBorders>
            <w:shd w:val="clear" w:color="auto" w:fill="auto"/>
            <w:noWrap/>
            <w:vAlign w:val="center"/>
          </w:tcPr>
          <w:p w14:paraId="12DEF9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407.52</w:t>
            </w:r>
          </w:p>
        </w:tc>
        <w:tc>
          <w:tcPr>
            <w:tcW w:w="1944" w:type="dxa"/>
            <w:tcBorders>
              <w:top w:val="nil"/>
              <w:left w:val="nil"/>
              <w:bottom w:val="single" w:color="000000" w:sz="4" w:space="0"/>
              <w:right w:val="single" w:color="000000" w:sz="4" w:space="0"/>
            </w:tcBorders>
            <w:shd w:val="clear" w:color="auto" w:fill="auto"/>
            <w:noWrap/>
            <w:vAlign w:val="center"/>
          </w:tcPr>
          <w:p w14:paraId="56C9F0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390.04</w:t>
            </w:r>
          </w:p>
        </w:tc>
      </w:tr>
      <w:tr w14:paraId="6236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2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B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95.45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1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95.45</w:t>
            </w:r>
          </w:p>
        </w:tc>
      </w:tr>
      <w:tr w14:paraId="3FCF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B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20199</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B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其他一般公共服务支出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A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95.45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8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95.45</w:t>
            </w:r>
          </w:p>
        </w:tc>
      </w:tr>
      <w:tr w14:paraId="3AEE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2019999</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A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其他一般公共服务支出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E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95.45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4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E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95.45</w:t>
            </w:r>
          </w:p>
        </w:tc>
      </w:tr>
      <w:tr w14:paraId="5DC2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5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C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农林水支出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A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5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0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17.53</w:t>
            </w:r>
          </w:p>
        </w:tc>
      </w:tr>
      <w:tr w14:paraId="54AA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8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21302</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8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林业和草原</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A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A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84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17.53</w:t>
            </w:r>
          </w:p>
        </w:tc>
      </w:tr>
      <w:tr w14:paraId="59D0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B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2130202</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6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一般行政管理事务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9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8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A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14:paraId="4D4C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FB5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2130207</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180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森林资源管理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02C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16.45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3C9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35C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16.45</w:t>
            </w:r>
          </w:p>
        </w:tc>
      </w:tr>
      <w:tr w14:paraId="62B9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F8D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2130209</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AD8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森林生态效益补偿</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BC7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2A9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974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0.08</w:t>
            </w:r>
          </w:p>
        </w:tc>
      </w:tr>
      <w:tr w14:paraId="1E0B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37F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66B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自然资源海洋气象等支出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1E3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664.59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001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407.53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40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257.06</w:t>
            </w:r>
          </w:p>
        </w:tc>
      </w:tr>
      <w:tr w14:paraId="382F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C08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6B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自然资源事务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EFB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664.59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CCB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407.53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C12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257.06</w:t>
            </w:r>
          </w:p>
        </w:tc>
      </w:tr>
      <w:tr w14:paraId="2C31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B7A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2200101</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5C3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行政运行</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F15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419.55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591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394.55</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C89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25.00</w:t>
            </w:r>
          </w:p>
        </w:tc>
      </w:tr>
      <w:tr w14:paraId="273C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C26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2200102</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C1B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一般行政管理事务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EC0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166.29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CE5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12.98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94D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153.31</w:t>
            </w:r>
          </w:p>
        </w:tc>
      </w:tr>
      <w:tr w14:paraId="23FB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68F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2200104</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AF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自然资源规划及管理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6A2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F55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2B8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r>
      <w:tr w14:paraId="4B1D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FAE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2200199</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886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其他自然资源事务支出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EFB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0B1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27B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38.75</w:t>
            </w:r>
          </w:p>
        </w:tc>
      </w:tr>
      <w:tr w14:paraId="6463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BDB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88D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灾害防治及应急管理支出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EF8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B44">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A0C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r>
      <w:tr w14:paraId="65F5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FF9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22406</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8F4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自然灾害防治</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D305">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9FE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F8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r>
      <w:tr w14:paraId="6BB6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055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2240601</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0BF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地质灾害防治</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CA7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A1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825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r>
    </w:tbl>
    <w:p w14:paraId="564169F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14:paraId="25A74CD6">
      <w:pPr>
        <w:spacing w:before="52" w:line="219" w:lineRule="auto"/>
        <w:ind w:left="121"/>
        <w:rPr>
          <w:rFonts w:ascii="宋体" w:hAnsi="宋体" w:eastAsia="宋体" w:cs="宋体"/>
          <w:color w:val="auto"/>
          <w:sz w:val="22"/>
          <w:szCs w:val="22"/>
        </w:rPr>
      </w:pPr>
      <w:r>
        <w:rPr>
          <w:rFonts w:ascii="宋体" w:hAnsi="宋体" w:eastAsia="宋体" w:cs="宋体"/>
          <w:color w:val="auto"/>
          <w:spacing w:val="-1"/>
          <w:sz w:val="22"/>
          <w:szCs w:val="22"/>
        </w:rPr>
        <w:t>注：本表反映部门本年度一般公共预算财政拨款支出情况。</w:t>
      </w:r>
    </w:p>
    <w:p w14:paraId="5D14C97F">
      <w:pPr>
        <w:spacing w:line="245" w:lineRule="auto"/>
        <w:rPr>
          <w:rFonts w:ascii="Arial"/>
          <w:color w:val="auto"/>
          <w:sz w:val="21"/>
        </w:rPr>
      </w:pPr>
    </w:p>
    <w:p w14:paraId="481F2F86">
      <w:pPr>
        <w:spacing w:line="245" w:lineRule="auto"/>
        <w:rPr>
          <w:rFonts w:ascii="Arial"/>
          <w:color w:val="auto"/>
          <w:sz w:val="21"/>
        </w:rPr>
      </w:pPr>
    </w:p>
    <w:p w14:paraId="215B8944">
      <w:pPr>
        <w:spacing w:line="245" w:lineRule="auto"/>
        <w:rPr>
          <w:rFonts w:ascii="Arial"/>
          <w:color w:val="auto"/>
          <w:sz w:val="21"/>
        </w:rPr>
      </w:pPr>
    </w:p>
    <w:p w14:paraId="61CAA923">
      <w:pPr>
        <w:spacing w:line="245" w:lineRule="auto"/>
        <w:rPr>
          <w:rFonts w:ascii="Arial"/>
          <w:color w:val="auto"/>
          <w:sz w:val="21"/>
        </w:rPr>
      </w:pPr>
    </w:p>
    <w:p w14:paraId="6C934617">
      <w:pPr>
        <w:spacing w:line="245" w:lineRule="auto"/>
        <w:rPr>
          <w:rFonts w:ascii="Arial"/>
          <w:color w:val="auto"/>
          <w:sz w:val="21"/>
        </w:rPr>
      </w:pPr>
    </w:p>
    <w:p w14:paraId="45B4EBDA">
      <w:pPr>
        <w:spacing w:line="245" w:lineRule="auto"/>
        <w:rPr>
          <w:rFonts w:ascii="Arial"/>
          <w:color w:val="auto"/>
          <w:sz w:val="21"/>
        </w:rPr>
      </w:pPr>
    </w:p>
    <w:p w14:paraId="0816B7FE">
      <w:pPr>
        <w:spacing w:line="245" w:lineRule="auto"/>
        <w:rPr>
          <w:rFonts w:ascii="Arial"/>
          <w:color w:val="auto"/>
          <w:sz w:val="21"/>
        </w:rPr>
      </w:pPr>
    </w:p>
    <w:p w14:paraId="5B220DEE">
      <w:pPr>
        <w:spacing w:line="245" w:lineRule="auto"/>
        <w:rPr>
          <w:rFonts w:ascii="Arial"/>
          <w:color w:val="auto"/>
          <w:sz w:val="21"/>
        </w:rPr>
      </w:pPr>
    </w:p>
    <w:p w14:paraId="235F8CA0">
      <w:pPr>
        <w:spacing w:line="245" w:lineRule="auto"/>
        <w:rPr>
          <w:rFonts w:ascii="Arial"/>
          <w:color w:val="auto"/>
          <w:sz w:val="21"/>
        </w:rPr>
      </w:pPr>
    </w:p>
    <w:p w14:paraId="17F467E2">
      <w:pPr>
        <w:spacing w:line="245" w:lineRule="auto"/>
        <w:rPr>
          <w:rFonts w:ascii="Arial"/>
          <w:color w:val="auto"/>
          <w:sz w:val="21"/>
        </w:rPr>
      </w:pPr>
    </w:p>
    <w:p w14:paraId="2D77EAD6">
      <w:pPr>
        <w:spacing w:line="246" w:lineRule="auto"/>
        <w:rPr>
          <w:rFonts w:ascii="Arial"/>
          <w:color w:val="auto"/>
          <w:sz w:val="21"/>
        </w:rPr>
      </w:pPr>
    </w:p>
    <w:p w14:paraId="4CEE5727">
      <w:pPr>
        <w:spacing w:line="246" w:lineRule="auto"/>
        <w:rPr>
          <w:rFonts w:ascii="Arial"/>
          <w:color w:val="auto"/>
          <w:sz w:val="21"/>
        </w:rPr>
      </w:pPr>
    </w:p>
    <w:p w14:paraId="0F68AFF9">
      <w:pPr>
        <w:spacing w:line="246" w:lineRule="auto"/>
        <w:rPr>
          <w:rFonts w:ascii="Arial"/>
          <w:color w:val="auto"/>
          <w:sz w:val="21"/>
        </w:rPr>
      </w:pPr>
    </w:p>
    <w:p w14:paraId="30F60C5B">
      <w:pPr>
        <w:spacing w:line="246" w:lineRule="auto"/>
        <w:rPr>
          <w:rFonts w:ascii="Arial"/>
          <w:color w:val="auto"/>
          <w:sz w:val="21"/>
        </w:rPr>
      </w:pPr>
    </w:p>
    <w:p w14:paraId="117F28A1">
      <w:pPr>
        <w:spacing w:line="246" w:lineRule="auto"/>
        <w:rPr>
          <w:rFonts w:ascii="Arial"/>
          <w:color w:val="auto"/>
          <w:sz w:val="21"/>
        </w:rPr>
      </w:pPr>
    </w:p>
    <w:p w14:paraId="61FC9590">
      <w:pPr>
        <w:spacing w:line="246" w:lineRule="auto"/>
        <w:rPr>
          <w:rFonts w:ascii="Arial"/>
          <w:color w:val="auto"/>
          <w:sz w:val="21"/>
        </w:rPr>
      </w:pPr>
    </w:p>
    <w:p w14:paraId="5CB689BD">
      <w:pPr>
        <w:spacing w:line="246" w:lineRule="auto"/>
        <w:rPr>
          <w:rFonts w:ascii="Arial"/>
          <w:color w:val="auto"/>
          <w:sz w:val="21"/>
        </w:rPr>
      </w:pPr>
    </w:p>
    <w:p w14:paraId="7CF1A61C">
      <w:pPr>
        <w:spacing w:line="246" w:lineRule="auto"/>
        <w:rPr>
          <w:rFonts w:ascii="Arial"/>
          <w:color w:val="auto"/>
          <w:sz w:val="21"/>
        </w:rPr>
      </w:pPr>
    </w:p>
    <w:p w14:paraId="3E7234D6">
      <w:pPr>
        <w:spacing w:line="246" w:lineRule="auto"/>
        <w:rPr>
          <w:rFonts w:ascii="Arial"/>
          <w:color w:val="auto"/>
          <w:sz w:val="21"/>
        </w:rPr>
      </w:pPr>
    </w:p>
    <w:p w14:paraId="2E8D6F27">
      <w:pPr>
        <w:spacing w:line="246" w:lineRule="auto"/>
        <w:rPr>
          <w:rFonts w:ascii="Arial"/>
          <w:color w:val="auto"/>
          <w:sz w:val="21"/>
        </w:rPr>
      </w:pPr>
    </w:p>
    <w:p w14:paraId="4DFB48FD">
      <w:pPr>
        <w:spacing w:line="246" w:lineRule="auto"/>
        <w:rPr>
          <w:rFonts w:ascii="Arial"/>
          <w:color w:val="auto"/>
          <w:sz w:val="21"/>
        </w:rPr>
      </w:pPr>
    </w:p>
    <w:p w14:paraId="03386C20">
      <w:pPr>
        <w:pStyle w:val="2"/>
        <w:spacing w:before="101" w:line="226" w:lineRule="auto"/>
        <w:ind w:left="682"/>
        <w:outlineLvl w:val="0"/>
        <w:rPr>
          <w:color w:val="auto"/>
        </w:rPr>
      </w:pPr>
      <w:r>
        <w:rPr>
          <w:color w:val="auto"/>
          <w:spacing w:val="8"/>
        </w:rPr>
        <w:t>六、一般公共预算财政拨款基本支出决算明细表</w:t>
      </w:r>
    </w:p>
    <w:p w14:paraId="4F63B7A5">
      <w:pPr>
        <w:spacing w:before="149" w:line="219" w:lineRule="auto"/>
        <w:ind w:left="2618"/>
        <w:outlineLvl w:val="1"/>
        <w:rPr>
          <w:rFonts w:ascii="宋体" w:hAnsi="宋体" w:eastAsia="宋体" w:cs="宋体"/>
          <w:color w:val="auto"/>
          <w:sz w:val="30"/>
          <w:szCs w:val="30"/>
        </w:rPr>
      </w:pPr>
      <w:r>
        <w:rPr>
          <w:rFonts w:ascii="宋体" w:hAnsi="宋体" w:eastAsia="宋体" w:cs="宋体"/>
          <w:color w:val="auto"/>
          <w:spacing w:val="-1"/>
          <w:sz w:val="30"/>
          <w:szCs w:val="30"/>
        </w:rPr>
        <w:t>一般公共预算财政拨款基本支出决算明细表</w:t>
      </w:r>
    </w:p>
    <w:p w14:paraId="77603A31">
      <w:pPr>
        <w:spacing w:before="169" w:line="221" w:lineRule="auto"/>
        <w:ind w:left="9994"/>
        <w:rPr>
          <w:rFonts w:ascii="宋体" w:hAnsi="宋体" w:eastAsia="宋体" w:cs="宋体"/>
          <w:color w:val="auto"/>
          <w:sz w:val="18"/>
          <w:szCs w:val="18"/>
        </w:rPr>
      </w:pPr>
      <w:r>
        <w:rPr>
          <w:rFonts w:ascii="宋体" w:hAnsi="宋体" w:eastAsia="宋体" w:cs="宋体"/>
          <w:color w:val="auto"/>
          <w:spacing w:val="-4"/>
          <w:sz w:val="18"/>
          <w:szCs w:val="18"/>
        </w:rPr>
        <w:t>公开</w:t>
      </w:r>
      <w:r>
        <w:rPr>
          <w:rFonts w:ascii="宋体" w:hAnsi="宋体" w:eastAsia="宋体" w:cs="宋体"/>
          <w:color w:val="auto"/>
          <w:spacing w:val="-36"/>
          <w:sz w:val="18"/>
          <w:szCs w:val="18"/>
        </w:rPr>
        <w:t xml:space="preserve"> </w:t>
      </w:r>
      <w:r>
        <w:rPr>
          <w:rFonts w:ascii="宋体" w:hAnsi="宋体" w:eastAsia="宋体" w:cs="宋体"/>
          <w:color w:val="auto"/>
          <w:spacing w:val="-4"/>
          <w:sz w:val="18"/>
          <w:szCs w:val="18"/>
        </w:rPr>
        <w:t>06</w:t>
      </w:r>
      <w:r>
        <w:rPr>
          <w:rFonts w:ascii="宋体" w:hAnsi="宋体" w:eastAsia="宋体" w:cs="宋体"/>
          <w:color w:val="auto"/>
          <w:spacing w:val="-42"/>
          <w:sz w:val="18"/>
          <w:szCs w:val="18"/>
        </w:rPr>
        <w:t xml:space="preserve"> </w:t>
      </w:r>
      <w:r>
        <w:rPr>
          <w:rFonts w:ascii="宋体" w:hAnsi="宋体" w:eastAsia="宋体" w:cs="宋体"/>
          <w:color w:val="auto"/>
          <w:spacing w:val="-4"/>
          <w:sz w:val="18"/>
          <w:szCs w:val="18"/>
        </w:rPr>
        <w:t>表</w:t>
      </w:r>
    </w:p>
    <w:p w14:paraId="1010F167">
      <w:pPr>
        <w:spacing w:before="232" w:line="227" w:lineRule="auto"/>
        <w:ind w:left="123"/>
        <w:rPr>
          <w:rFonts w:ascii="宋体" w:hAnsi="宋体" w:eastAsia="宋体" w:cs="宋体"/>
          <w:color w:val="auto"/>
          <w:sz w:val="18"/>
          <w:szCs w:val="18"/>
        </w:rPr>
      </w:pPr>
      <w:r>
        <w:rPr>
          <w:rFonts w:ascii="宋体" w:hAnsi="宋体" w:eastAsia="宋体" w:cs="宋体"/>
          <w:color w:val="auto"/>
          <w:spacing w:val="5"/>
          <w:sz w:val="19"/>
          <w:szCs w:val="19"/>
        </w:rPr>
        <w:t xml:space="preserve">部门：鄂州市自然资源和规划局鄂城分局                           </w:t>
      </w:r>
      <w:r>
        <w:rPr>
          <w:rFonts w:ascii="宋体" w:hAnsi="宋体" w:eastAsia="宋体" w:cs="宋体"/>
          <w:color w:val="auto"/>
          <w:spacing w:val="4"/>
          <w:sz w:val="19"/>
          <w:szCs w:val="19"/>
        </w:rPr>
        <w:t xml:space="preserve">                                </w:t>
      </w:r>
      <w:r>
        <w:rPr>
          <w:rFonts w:ascii="宋体" w:hAnsi="宋体" w:eastAsia="宋体" w:cs="宋体"/>
          <w:color w:val="auto"/>
          <w:spacing w:val="4"/>
          <w:sz w:val="18"/>
          <w:szCs w:val="18"/>
        </w:rPr>
        <w:t>金额单位：万元</w:t>
      </w:r>
    </w:p>
    <w:p w14:paraId="2B9E88D3">
      <w:pPr>
        <w:spacing w:line="22" w:lineRule="exact"/>
        <w:rPr>
          <w:color w:val="auto"/>
        </w:rPr>
      </w:pPr>
    </w:p>
    <w:tbl>
      <w:tblPr>
        <w:tblStyle w:val="5"/>
        <w:tblW w:w="108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2277"/>
        <w:gridCol w:w="876"/>
        <w:gridCol w:w="717"/>
        <w:gridCol w:w="1736"/>
        <w:gridCol w:w="885"/>
        <w:gridCol w:w="717"/>
        <w:gridCol w:w="2147"/>
        <w:gridCol w:w="767"/>
      </w:tblGrid>
      <w:tr w14:paraId="5FC2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385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14:paraId="01B00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6989" w:type="dxa"/>
            <w:gridSpan w:val="6"/>
            <w:tcBorders>
              <w:top w:val="single" w:color="000000" w:sz="4" w:space="0"/>
              <w:left w:val="nil"/>
              <w:bottom w:val="single" w:color="000000" w:sz="4" w:space="0"/>
              <w:right w:val="single" w:color="000000" w:sz="4" w:space="0"/>
            </w:tcBorders>
            <w:shd w:val="clear" w:color="FFFFFF" w:fill="C0C0C0"/>
            <w:vAlign w:val="center"/>
          </w:tcPr>
          <w:p w14:paraId="09B2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r>
      <w:tr w14:paraId="6480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18" w:type="dxa"/>
            <w:vMerge w:val="restart"/>
            <w:tcBorders>
              <w:top w:val="nil"/>
              <w:left w:val="single" w:color="000000" w:sz="4" w:space="0"/>
              <w:bottom w:val="single" w:color="000000" w:sz="4" w:space="0"/>
              <w:right w:val="single" w:color="000000" w:sz="4" w:space="0"/>
            </w:tcBorders>
            <w:shd w:val="clear" w:color="FFFFFF" w:fill="C0C0C0"/>
            <w:vAlign w:val="center"/>
          </w:tcPr>
          <w:p w14:paraId="77E1C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科目代码</w:t>
            </w:r>
          </w:p>
        </w:tc>
        <w:tc>
          <w:tcPr>
            <w:tcW w:w="2293" w:type="dxa"/>
            <w:vMerge w:val="restart"/>
            <w:tcBorders>
              <w:top w:val="nil"/>
              <w:left w:val="nil"/>
              <w:bottom w:val="single" w:color="000000" w:sz="4" w:space="0"/>
              <w:right w:val="single" w:color="000000" w:sz="4" w:space="0"/>
            </w:tcBorders>
            <w:shd w:val="clear" w:color="FFFFFF" w:fill="C0C0C0"/>
            <w:vAlign w:val="center"/>
          </w:tcPr>
          <w:p w14:paraId="41D64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839" w:type="dxa"/>
            <w:vMerge w:val="restart"/>
            <w:tcBorders>
              <w:top w:val="nil"/>
              <w:left w:val="nil"/>
              <w:bottom w:val="single" w:color="000000" w:sz="4" w:space="0"/>
              <w:right w:val="single" w:color="000000" w:sz="4" w:space="0"/>
            </w:tcBorders>
            <w:shd w:val="clear" w:color="FFFFFF" w:fill="C0C0C0"/>
            <w:vAlign w:val="center"/>
          </w:tcPr>
          <w:p w14:paraId="57569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决算数</w:t>
            </w:r>
          </w:p>
        </w:tc>
        <w:tc>
          <w:tcPr>
            <w:tcW w:w="718" w:type="dxa"/>
            <w:vMerge w:val="restart"/>
            <w:tcBorders>
              <w:top w:val="nil"/>
              <w:left w:val="nil"/>
              <w:bottom w:val="single" w:color="000000" w:sz="4" w:space="0"/>
              <w:right w:val="single" w:color="000000" w:sz="4" w:space="0"/>
            </w:tcBorders>
            <w:shd w:val="clear" w:color="FFFFFF" w:fill="C0C0C0"/>
            <w:vAlign w:val="center"/>
          </w:tcPr>
          <w:p w14:paraId="2B9C9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科目代码</w:t>
            </w:r>
          </w:p>
        </w:tc>
        <w:tc>
          <w:tcPr>
            <w:tcW w:w="1746" w:type="dxa"/>
            <w:vMerge w:val="restart"/>
            <w:tcBorders>
              <w:top w:val="nil"/>
              <w:left w:val="nil"/>
              <w:bottom w:val="single" w:color="000000" w:sz="4" w:space="0"/>
              <w:right w:val="single" w:color="000000" w:sz="4" w:space="0"/>
            </w:tcBorders>
            <w:shd w:val="clear" w:color="FFFFFF" w:fill="C0C0C0"/>
            <w:vAlign w:val="center"/>
          </w:tcPr>
          <w:p w14:paraId="20B15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886" w:type="dxa"/>
            <w:vMerge w:val="restart"/>
            <w:tcBorders>
              <w:top w:val="nil"/>
              <w:left w:val="nil"/>
              <w:bottom w:val="single" w:color="000000" w:sz="4" w:space="0"/>
              <w:right w:val="single" w:color="000000" w:sz="4" w:space="0"/>
            </w:tcBorders>
            <w:shd w:val="clear" w:color="FFFFFF" w:fill="C0C0C0"/>
            <w:vAlign w:val="center"/>
          </w:tcPr>
          <w:p w14:paraId="4EA0D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决算数</w:t>
            </w:r>
          </w:p>
        </w:tc>
        <w:tc>
          <w:tcPr>
            <w:tcW w:w="718" w:type="dxa"/>
            <w:vMerge w:val="restart"/>
            <w:tcBorders>
              <w:top w:val="nil"/>
              <w:left w:val="nil"/>
              <w:bottom w:val="single" w:color="000000" w:sz="4" w:space="0"/>
              <w:right w:val="single" w:color="000000" w:sz="4" w:space="0"/>
            </w:tcBorders>
            <w:shd w:val="clear" w:color="FFFFFF" w:fill="C0C0C0"/>
            <w:vAlign w:val="center"/>
          </w:tcPr>
          <w:p w14:paraId="66614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科目代码</w:t>
            </w:r>
          </w:p>
        </w:tc>
        <w:tc>
          <w:tcPr>
            <w:tcW w:w="2165" w:type="dxa"/>
            <w:vMerge w:val="restart"/>
            <w:tcBorders>
              <w:top w:val="nil"/>
              <w:left w:val="nil"/>
              <w:bottom w:val="single" w:color="000000" w:sz="4" w:space="0"/>
              <w:right w:val="single" w:color="000000" w:sz="4" w:space="0"/>
            </w:tcBorders>
            <w:shd w:val="clear" w:color="FFFFFF" w:fill="C0C0C0"/>
            <w:vAlign w:val="center"/>
          </w:tcPr>
          <w:p w14:paraId="1AF50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756" w:type="dxa"/>
            <w:vMerge w:val="restart"/>
            <w:tcBorders>
              <w:top w:val="nil"/>
              <w:left w:val="nil"/>
              <w:bottom w:val="single" w:color="000000" w:sz="4" w:space="0"/>
              <w:right w:val="single" w:color="000000" w:sz="4" w:space="0"/>
            </w:tcBorders>
            <w:shd w:val="clear" w:color="FFFFFF" w:fill="C0C0C0"/>
            <w:vAlign w:val="center"/>
          </w:tcPr>
          <w:p w14:paraId="2BC57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决算数</w:t>
            </w:r>
          </w:p>
        </w:tc>
      </w:tr>
      <w:tr w14:paraId="6EC2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8" w:type="dxa"/>
            <w:vMerge w:val="continue"/>
            <w:tcBorders>
              <w:top w:val="nil"/>
              <w:left w:val="single" w:color="000000" w:sz="4" w:space="0"/>
              <w:bottom w:val="single" w:color="000000" w:sz="4" w:space="0"/>
              <w:right w:val="single" w:color="000000" w:sz="4" w:space="0"/>
            </w:tcBorders>
            <w:shd w:val="clear" w:color="FFFFFF" w:fill="C0C0C0"/>
            <w:vAlign w:val="center"/>
          </w:tcPr>
          <w:p w14:paraId="6C015969">
            <w:pPr>
              <w:jc w:val="center"/>
              <w:rPr>
                <w:rFonts w:hint="eastAsia" w:ascii="宋体" w:hAnsi="宋体" w:eastAsia="宋体" w:cs="宋体"/>
                <w:i w:val="0"/>
                <w:iCs w:val="0"/>
                <w:color w:val="000000"/>
                <w:sz w:val="18"/>
                <w:szCs w:val="18"/>
                <w:u w:val="none"/>
              </w:rPr>
            </w:pPr>
          </w:p>
        </w:tc>
        <w:tc>
          <w:tcPr>
            <w:tcW w:w="2293" w:type="dxa"/>
            <w:vMerge w:val="continue"/>
            <w:tcBorders>
              <w:top w:val="nil"/>
              <w:left w:val="nil"/>
              <w:bottom w:val="single" w:color="000000" w:sz="4" w:space="0"/>
              <w:right w:val="single" w:color="000000" w:sz="4" w:space="0"/>
            </w:tcBorders>
            <w:shd w:val="clear" w:color="FFFFFF" w:fill="C0C0C0"/>
            <w:vAlign w:val="center"/>
          </w:tcPr>
          <w:p w14:paraId="22D07CE7">
            <w:pPr>
              <w:jc w:val="center"/>
              <w:rPr>
                <w:rFonts w:hint="eastAsia" w:ascii="宋体" w:hAnsi="宋体" w:eastAsia="宋体" w:cs="宋体"/>
                <w:i w:val="0"/>
                <w:iCs w:val="0"/>
                <w:color w:val="000000"/>
                <w:sz w:val="18"/>
                <w:szCs w:val="18"/>
                <w:u w:val="none"/>
              </w:rPr>
            </w:pPr>
          </w:p>
        </w:tc>
        <w:tc>
          <w:tcPr>
            <w:tcW w:w="839" w:type="dxa"/>
            <w:vMerge w:val="continue"/>
            <w:tcBorders>
              <w:top w:val="nil"/>
              <w:left w:val="nil"/>
              <w:bottom w:val="single" w:color="000000" w:sz="4" w:space="0"/>
              <w:right w:val="single" w:color="000000" w:sz="4" w:space="0"/>
            </w:tcBorders>
            <w:shd w:val="clear" w:color="FFFFFF" w:fill="C0C0C0"/>
            <w:vAlign w:val="center"/>
          </w:tcPr>
          <w:p w14:paraId="1CC78D22">
            <w:pPr>
              <w:jc w:val="center"/>
              <w:rPr>
                <w:rFonts w:hint="eastAsia" w:ascii="宋体" w:hAnsi="宋体" w:eastAsia="宋体" w:cs="宋体"/>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FFFFFF" w:fill="C0C0C0"/>
            <w:vAlign w:val="center"/>
          </w:tcPr>
          <w:p w14:paraId="5CB54941">
            <w:pPr>
              <w:jc w:val="center"/>
              <w:rPr>
                <w:rFonts w:hint="eastAsia" w:ascii="宋体" w:hAnsi="宋体" w:eastAsia="宋体" w:cs="宋体"/>
                <w:i w:val="0"/>
                <w:iCs w:val="0"/>
                <w:color w:val="000000"/>
                <w:sz w:val="18"/>
                <w:szCs w:val="18"/>
                <w:u w:val="none"/>
              </w:rPr>
            </w:pPr>
          </w:p>
        </w:tc>
        <w:tc>
          <w:tcPr>
            <w:tcW w:w="1746" w:type="dxa"/>
            <w:vMerge w:val="continue"/>
            <w:tcBorders>
              <w:top w:val="nil"/>
              <w:left w:val="nil"/>
              <w:bottom w:val="single" w:color="000000" w:sz="4" w:space="0"/>
              <w:right w:val="single" w:color="000000" w:sz="4" w:space="0"/>
            </w:tcBorders>
            <w:shd w:val="clear" w:color="FFFFFF" w:fill="C0C0C0"/>
            <w:vAlign w:val="center"/>
          </w:tcPr>
          <w:p w14:paraId="60E05804">
            <w:pPr>
              <w:jc w:val="center"/>
              <w:rPr>
                <w:rFonts w:hint="eastAsia" w:ascii="宋体" w:hAnsi="宋体" w:eastAsia="宋体" w:cs="宋体"/>
                <w:i w:val="0"/>
                <w:iCs w:val="0"/>
                <w:color w:val="000000"/>
                <w:sz w:val="18"/>
                <w:szCs w:val="18"/>
                <w:u w:val="none"/>
              </w:rPr>
            </w:pPr>
          </w:p>
        </w:tc>
        <w:tc>
          <w:tcPr>
            <w:tcW w:w="886" w:type="dxa"/>
            <w:vMerge w:val="continue"/>
            <w:tcBorders>
              <w:top w:val="nil"/>
              <w:left w:val="nil"/>
              <w:bottom w:val="single" w:color="000000" w:sz="4" w:space="0"/>
              <w:right w:val="single" w:color="000000" w:sz="4" w:space="0"/>
            </w:tcBorders>
            <w:shd w:val="clear" w:color="FFFFFF" w:fill="C0C0C0"/>
            <w:vAlign w:val="center"/>
          </w:tcPr>
          <w:p w14:paraId="624AB916">
            <w:pPr>
              <w:jc w:val="center"/>
              <w:rPr>
                <w:rFonts w:hint="eastAsia" w:ascii="宋体" w:hAnsi="宋体" w:eastAsia="宋体" w:cs="宋体"/>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FFFFFF" w:fill="C0C0C0"/>
            <w:vAlign w:val="center"/>
          </w:tcPr>
          <w:p w14:paraId="4FDD61A6">
            <w:pPr>
              <w:jc w:val="center"/>
              <w:rPr>
                <w:rFonts w:hint="eastAsia" w:ascii="宋体" w:hAnsi="宋体" w:eastAsia="宋体" w:cs="宋体"/>
                <w:i w:val="0"/>
                <w:iCs w:val="0"/>
                <w:color w:val="000000"/>
                <w:sz w:val="18"/>
                <w:szCs w:val="18"/>
                <w:u w:val="none"/>
              </w:rPr>
            </w:pPr>
          </w:p>
        </w:tc>
        <w:tc>
          <w:tcPr>
            <w:tcW w:w="2165" w:type="dxa"/>
            <w:vMerge w:val="continue"/>
            <w:tcBorders>
              <w:top w:val="nil"/>
              <w:left w:val="nil"/>
              <w:bottom w:val="single" w:color="000000" w:sz="4" w:space="0"/>
              <w:right w:val="single" w:color="000000" w:sz="4" w:space="0"/>
            </w:tcBorders>
            <w:shd w:val="clear" w:color="FFFFFF" w:fill="C0C0C0"/>
            <w:vAlign w:val="center"/>
          </w:tcPr>
          <w:p w14:paraId="39EEE6BE">
            <w:pPr>
              <w:jc w:val="center"/>
              <w:rPr>
                <w:rFonts w:hint="eastAsia" w:ascii="宋体" w:hAnsi="宋体" w:eastAsia="宋体" w:cs="宋体"/>
                <w:i w:val="0"/>
                <w:iCs w:val="0"/>
                <w:color w:val="000000"/>
                <w:sz w:val="18"/>
                <w:szCs w:val="18"/>
                <w:u w:val="none"/>
              </w:rPr>
            </w:pPr>
          </w:p>
        </w:tc>
        <w:tc>
          <w:tcPr>
            <w:tcW w:w="756" w:type="dxa"/>
            <w:vMerge w:val="continue"/>
            <w:tcBorders>
              <w:top w:val="nil"/>
              <w:left w:val="nil"/>
              <w:bottom w:val="single" w:color="000000" w:sz="4" w:space="0"/>
              <w:right w:val="single" w:color="000000" w:sz="4" w:space="0"/>
            </w:tcBorders>
            <w:shd w:val="clear" w:color="FFFFFF" w:fill="C0C0C0"/>
            <w:vAlign w:val="center"/>
          </w:tcPr>
          <w:p w14:paraId="2CDE2CA0">
            <w:pPr>
              <w:jc w:val="center"/>
              <w:rPr>
                <w:rFonts w:hint="eastAsia" w:ascii="宋体" w:hAnsi="宋体" w:eastAsia="宋体" w:cs="宋体"/>
                <w:i w:val="0"/>
                <w:iCs w:val="0"/>
                <w:color w:val="000000"/>
                <w:sz w:val="18"/>
                <w:szCs w:val="18"/>
                <w:u w:val="none"/>
              </w:rPr>
            </w:pPr>
          </w:p>
        </w:tc>
      </w:tr>
      <w:tr w14:paraId="77B9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4AE789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2293" w:type="dxa"/>
            <w:tcBorders>
              <w:top w:val="nil"/>
              <w:left w:val="nil"/>
              <w:bottom w:val="single" w:color="000000" w:sz="4" w:space="0"/>
              <w:right w:val="single" w:color="000000" w:sz="4" w:space="0"/>
            </w:tcBorders>
            <w:shd w:val="clear" w:color="FFFFFF" w:fill="C0C0C0"/>
            <w:vAlign w:val="center"/>
          </w:tcPr>
          <w:p w14:paraId="778F1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839" w:type="dxa"/>
            <w:tcBorders>
              <w:top w:val="nil"/>
              <w:left w:val="nil"/>
              <w:bottom w:val="single" w:color="000000" w:sz="4" w:space="0"/>
              <w:right w:val="single" w:color="000000" w:sz="4" w:space="0"/>
            </w:tcBorders>
            <w:shd w:val="clear" w:color="auto" w:fill="auto"/>
            <w:vAlign w:val="center"/>
          </w:tcPr>
          <w:p w14:paraId="476117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366.85</w:t>
            </w:r>
          </w:p>
        </w:tc>
        <w:tc>
          <w:tcPr>
            <w:tcW w:w="718" w:type="dxa"/>
            <w:tcBorders>
              <w:top w:val="nil"/>
              <w:left w:val="nil"/>
              <w:bottom w:val="single" w:color="000000" w:sz="4" w:space="0"/>
              <w:right w:val="single" w:color="000000" w:sz="4" w:space="0"/>
            </w:tcBorders>
            <w:shd w:val="clear" w:color="FFFFFF" w:fill="C0C0C0"/>
            <w:vAlign w:val="center"/>
          </w:tcPr>
          <w:p w14:paraId="459BA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1746" w:type="dxa"/>
            <w:tcBorders>
              <w:top w:val="nil"/>
              <w:left w:val="nil"/>
              <w:bottom w:val="single" w:color="000000" w:sz="4" w:space="0"/>
              <w:right w:val="single" w:color="000000" w:sz="4" w:space="0"/>
            </w:tcBorders>
            <w:shd w:val="clear" w:color="FFFFFF" w:fill="C0C0C0"/>
            <w:vAlign w:val="center"/>
          </w:tcPr>
          <w:p w14:paraId="5E7F5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886" w:type="dxa"/>
            <w:tcBorders>
              <w:top w:val="nil"/>
              <w:left w:val="nil"/>
              <w:bottom w:val="single" w:color="000000" w:sz="4" w:space="0"/>
              <w:right w:val="single" w:color="000000" w:sz="4" w:space="0"/>
            </w:tcBorders>
            <w:shd w:val="clear" w:color="auto" w:fill="auto"/>
            <w:vAlign w:val="center"/>
          </w:tcPr>
          <w:p w14:paraId="62ED7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32.80</w:t>
            </w:r>
          </w:p>
        </w:tc>
        <w:tc>
          <w:tcPr>
            <w:tcW w:w="718" w:type="dxa"/>
            <w:tcBorders>
              <w:top w:val="nil"/>
              <w:left w:val="nil"/>
              <w:bottom w:val="single" w:color="000000" w:sz="4" w:space="0"/>
              <w:right w:val="single" w:color="000000" w:sz="4" w:space="0"/>
            </w:tcBorders>
            <w:shd w:val="clear" w:color="FFFFFF" w:fill="C0C0C0"/>
            <w:vAlign w:val="center"/>
          </w:tcPr>
          <w:p w14:paraId="64238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307</w:t>
            </w:r>
          </w:p>
        </w:tc>
        <w:tc>
          <w:tcPr>
            <w:tcW w:w="2165" w:type="dxa"/>
            <w:tcBorders>
              <w:top w:val="nil"/>
              <w:left w:val="nil"/>
              <w:bottom w:val="single" w:color="000000" w:sz="4" w:space="0"/>
              <w:right w:val="single" w:color="000000" w:sz="4" w:space="0"/>
            </w:tcBorders>
            <w:shd w:val="clear" w:color="FFFFFF" w:fill="C0C0C0"/>
            <w:vAlign w:val="center"/>
          </w:tcPr>
          <w:p w14:paraId="522A5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债务利息及费用支出</w:t>
            </w:r>
          </w:p>
        </w:tc>
        <w:tc>
          <w:tcPr>
            <w:tcW w:w="756" w:type="dxa"/>
            <w:tcBorders>
              <w:top w:val="nil"/>
              <w:left w:val="nil"/>
              <w:bottom w:val="single" w:color="000000" w:sz="4" w:space="0"/>
              <w:right w:val="single" w:color="000000" w:sz="4" w:space="0"/>
            </w:tcBorders>
            <w:shd w:val="clear" w:color="auto" w:fill="auto"/>
            <w:vAlign w:val="center"/>
          </w:tcPr>
          <w:p w14:paraId="085254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3A9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345D0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2293" w:type="dxa"/>
            <w:tcBorders>
              <w:top w:val="nil"/>
              <w:left w:val="nil"/>
              <w:bottom w:val="single" w:color="000000" w:sz="4" w:space="0"/>
              <w:right w:val="single" w:color="000000" w:sz="4" w:space="0"/>
            </w:tcBorders>
            <w:shd w:val="clear" w:color="FFFFFF" w:fill="C0C0C0"/>
            <w:vAlign w:val="center"/>
          </w:tcPr>
          <w:p w14:paraId="1BC3E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基本工资</w:t>
            </w:r>
          </w:p>
        </w:tc>
        <w:tc>
          <w:tcPr>
            <w:tcW w:w="839" w:type="dxa"/>
            <w:tcBorders>
              <w:top w:val="nil"/>
              <w:left w:val="nil"/>
              <w:bottom w:val="single" w:color="000000" w:sz="4" w:space="0"/>
              <w:right w:val="single" w:color="000000" w:sz="4" w:space="0"/>
            </w:tcBorders>
            <w:shd w:val="clear" w:color="auto" w:fill="auto"/>
            <w:vAlign w:val="center"/>
          </w:tcPr>
          <w:p w14:paraId="30FC04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157.50</w:t>
            </w:r>
          </w:p>
        </w:tc>
        <w:tc>
          <w:tcPr>
            <w:tcW w:w="718" w:type="dxa"/>
            <w:tcBorders>
              <w:top w:val="nil"/>
              <w:left w:val="nil"/>
              <w:bottom w:val="single" w:color="000000" w:sz="4" w:space="0"/>
              <w:right w:val="single" w:color="000000" w:sz="4" w:space="0"/>
            </w:tcBorders>
            <w:shd w:val="clear" w:color="FFFFFF" w:fill="C0C0C0"/>
            <w:vAlign w:val="center"/>
          </w:tcPr>
          <w:p w14:paraId="1A13E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1746" w:type="dxa"/>
            <w:tcBorders>
              <w:top w:val="nil"/>
              <w:left w:val="nil"/>
              <w:bottom w:val="single" w:color="000000" w:sz="4" w:space="0"/>
              <w:right w:val="single" w:color="000000" w:sz="4" w:space="0"/>
            </w:tcBorders>
            <w:shd w:val="clear" w:color="FFFFFF" w:fill="C0C0C0"/>
            <w:vAlign w:val="center"/>
          </w:tcPr>
          <w:p w14:paraId="6AB2D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办公费</w:t>
            </w:r>
          </w:p>
        </w:tc>
        <w:tc>
          <w:tcPr>
            <w:tcW w:w="886" w:type="dxa"/>
            <w:tcBorders>
              <w:top w:val="nil"/>
              <w:left w:val="nil"/>
              <w:bottom w:val="single" w:color="000000" w:sz="4" w:space="0"/>
              <w:right w:val="single" w:color="000000" w:sz="4" w:space="0"/>
            </w:tcBorders>
            <w:shd w:val="clear" w:color="auto" w:fill="auto"/>
            <w:vAlign w:val="center"/>
          </w:tcPr>
          <w:p w14:paraId="50A546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718" w:type="dxa"/>
            <w:tcBorders>
              <w:top w:val="nil"/>
              <w:left w:val="nil"/>
              <w:bottom w:val="single" w:color="000000" w:sz="4" w:space="0"/>
              <w:right w:val="single" w:color="000000" w:sz="4" w:space="0"/>
            </w:tcBorders>
            <w:shd w:val="clear" w:color="FFFFFF" w:fill="C0C0C0"/>
            <w:vAlign w:val="center"/>
          </w:tcPr>
          <w:p w14:paraId="1D3D9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30701</w:t>
            </w:r>
          </w:p>
        </w:tc>
        <w:tc>
          <w:tcPr>
            <w:tcW w:w="2165" w:type="dxa"/>
            <w:tcBorders>
              <w:top w:val="nil"/>
              <w:left w:val="nil"/>
              <w:bottom w:val="single" w:color="000000" w:sz="4" w:space="0"/>
              <w:right w:val="single" w:color="000000" w:sz="4" w:space="0"/>
            </w:tcBorders>
            <w:shd w:val="clear" w:color="FFFFFF" w:fill="C0C0C0"/>
            <w:vAlign w:val="center"/>
          </w:tcPr>
          <w:p w14:paraId="2D9DB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国内债务付息</w:t>
            </w:r>
          </w:p>
        </w:tc>
        <w:tc>
          <w:tcPr>
            <w:tcW w:w="756" w:type="dxa"/>
            <w:tcBorders>
              <w:top w:val="nil"/>
              <w:left w:val="nil"/>
              <w:bottom w:val="single" w:color="000000" w:sz="4" w:space="0"/>
              <w:right w:val="single" w:color="000000" w:sz="4" w:space="0"/>
            </w:tcBorders>
            <w:shd w:val="clear" w:color="auto" w:fill="auto"/>
            <w:vAlign w:val="center"/>
          </w:tcPr>
          <w:p w14:paraId="17F913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BC0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564EC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2293" w:type="dxa"/>
            <w:tcBorders>
              <w:top w:val="nil"/>
              <w:left w:val="nil"/>
              <w:bottom w:val="single" w:color="000000" w:sz="4" w:space="0"/>
              <w:right w:val="single" w:color="000000" w:sz="4" w:space="0"/>
            </w:tcBorders>
            <w:shd w:val="clear" w:color="FFFFFF" w:fill="C0C0C0"/>
            <w:vAlign w:val="center"/>
          </w:tcPr>
          <w:p w14:paraId="1A3596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津贴补贴</w:t>
            </w:r>
          </w:p>
        </w:tc>
        <w:tc>
          <w:tcPr>
            <w:tcW w:w="839" w:type="dxa"/>
            <w:tcBorders>
              <w:top w:val="nil"/>
              <w:left w:val="nil"/>
              <w:bottom w:val="single" w:color="000000" w:sz="4" w:space="0"/>
              <w:right w:val="single" w:color="000000" w:sz="4" w:space="0"/>
            </w:tcBorders>
            <w:shd w:val="clear" w:color="auto" w:fill="auto"/>
            <w:vAlign w:val="center"/>
          </w:tcPr>
          <w:p w14:paraId="4A27B9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635F6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30202</w:t>
            </w:r>
          </w:p>
        </w:tc>
        <w:tc>
          <w:tcPr>
            <w:tcW w:w="1746" w:type="dxa"/>
            <w:tcBorders>
              <w:top w:val="nil"/>
              <w:left w:val="nil"/>
              <w:bottom w:val="single" w:color="000000" w:sz="4" w:space="0"/>
              <w:right w:val="single" w:color="000000" w:sz="4" w:space="0"/>
            </w:tcBorders>
            <w:shd w:val="clear" w:color="FFFFFF" w:fill="C0C0C0"/>
            <w:vAlign w:val="center"/>
          </w:tcPr>
          <w:p w14:paraId="4D2A3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印刷费</w:t>
            </w:r>
          </w:p>
        </w:tc>
        <w:tc>
          <w:tcPr>
            <w:tcW w:w="886" w:type="dxa"/>
            <w:tcBorders>
              <w:top w:val="nil"/>
              <w:left w:val="nil"/>
              <w:bottom w:val="single" w:color="000000" w:sz="4" w:space="0"/>
              <w:right w:val="single" w:color="000000" w:sz="4" w:space="0"/>
            </w:tcBorders>
            <w:shd w:val="clear" w:color="auto" w:fill="auto"/>
            <w:vAlign w:val="center"/>
          </w:tcPr>
          <w:p w14:paraId="40EC23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6.05</w:t>
            </w:r>
          </w:p>
        </w:tc>
        <w:tc>
          <w:tcPr>
            <w:tcW w:w="718" w:type="dxa"/>
            <w:tcBorders>
              <w:top w:val="nil"/>
              <w:left w:val="nil"/>
              <w:bottom w:val="single" w:color="000000" w:sz="4" w:space="0"/>
              <w:right w:val="single" w:color="000000" w:sz="4" w:space="0"/>
            </w:tcBorders>
            <w:shd w:val="clear" w:color="FFFFFF" w:fill="C0C0C0"/>
            <w:vAlign w:val="center"/>
          </w:tcPr>
          <w:p w14:paraId="00E7A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30702</w:t>
            </w:r>
          </w:p>
        </w:tc>
        <w:tc>
          <w:tcPr>
            <w:tcW w:w="2165" w:type="dxa"/>
            <w:tcBorders>
              <w:top w:val="nil"/>
              <w:left w:val="nil"/>
              <w:bottom w:val="single" w:color="000000" w:sz="4" w:space="0"/>
              <w:right w:val="single" w:color="000000" w:sz="4" w:space="0"/>
            </w:tcBorders>
            <w:shd w:val="clear" w:color="FFFFFF" w:fill="C0C0C0"/>
            <w:vAlign w:val="center"/>
          </w:tcPr>
          <w:p w14:paraId="2A5F0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国外债务付息</w:t>
            </w:r>
          </w:p>
        </w:tc>
        <w:tc>
          <w:tcPr>
            <w:tcW w:w="756" w:type="dxa"/>
            <w:tcBorders>
              <w:top w:val="nil"/>
              <w:left w:val="nil"/>
              <w:bottom w:val="single" w:color="000000" w:sz="4" w:space="0"/>
              <w:right w:val="single" w:color="000000" w:sz="4" w:space="0"/>
            </w:tcBorders>
            <w:shd w:val="clear" w:color="auto" w:fill="auto"/>
            <w:vAlign w:val="center"/>
          </w:tcPr>
          <w:p w14:paraId="08571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B67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582CC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2293" w:type="dxa"/>
            <w:tcBorders>
              <w:top w:val="nil"/>
              <w:left w:val="nil"/>
              <w:bottom w:val="single" w:color="000000" w:sz="4" w:space="0"/>
              <w:right w:val="single" w:color="000000" w:sz="4" w:space="0"/>
            </w:tcBorders>
            <w:shd w:val="clear" w:color="FFFFFF" w:fill="C0C0C0"/>
            <w:vAlign w:val="center"/>
          </w:tcPr>
          <w:p w14:paraId="06E1A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奖金</w:t>
            </w:r>
          </w:p>
        </w:tc>
        <w:tc>
          <w:tcPr>
            <w:tcW w:w="839" w:type="dxa"/>
            <w:tcBorders>
              <w:top w:val="nil"/>
              <w:left w:val="nil"/>
              <w:bottom w:val="single" w:color="000000" w:sz="4" w:space="0"/>
              <w:right w:val="single" w:color="000000" w:sz="4" w:space="0"/>
            </w:tcBorders>
            <w:shd w:val="clear" w:color="auto" w:fill="auto"/>
            <w:vAlign w:val="center"/>
          </w:tcPr>
          <w:p w14:paraId="064E36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1BBC0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30203</w:t>
            </w:r>
          </w:p>
        </w:tc>
        <w:tc>
          <w:tcPr>
            <w:tcW w:w="1746" w:type="dxa"/>
            <w:tcBorders>
              <w:top w:val="nil"/>
              <w:left w:val="nil"/>
              <w:bottom w:val="single" w:color="000000" w:sz="4" w:space="0"/>
              <w:right w:val="single" w:color="000000" w:sz="4" w:space="0"/>
            </w:tcBorders>
            <w:shd w:val="clear" w:color="FFFFFF" w:fill="C0C0C0"/>
            <w:vAlign w:val="center"/>
          </w:tcPr>
          <w:p w14:paraId="3FCB6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咨询费</w:t>
            </w:r>
          </w:p>
        </w:tc>
        <w:tc>
          <w:tcPr>
            <w:tcW w:w="886" w:type="dxa"/>
            <w:tcBorders>
              <w:top w:val="nil"/>
              <w:left w:val="nil"/>
              <w:bottom w:val="single" w:color="000000" w:sz="4" w:space="0"/>
              <w:right w:val="single" w:color="000000" w:sz="4" w:space="0"/>
            </w:tcBorders>
            <w:shd w:val="clear" w:color="auto" w:fill="auto"/>
            <w:vAlign w:val="center"/>
          </w:tcPr>
          <w:p w14:paraId="19961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05EA1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w:t>
            </w:r>
          </w:p>
        </w:tc>
        <w:tc>
          <w:tcPr>
            <w:tcW w:w="2165" w:type="dxa"/>
            <w:tcBorders>
              <w:top w:val="nil"/>
              <w:left w:val="nil"/>
              <w:bottom w:val="single" w:color="000000" w:sz="4" w:space="0"/>
              <w:right w:val="single" w:color="000000" w:sz="4" w:space="0"/>
            </w:tcBorders>
            <w:shd w:val="clear" w:color="FFFFFF" w:fill="C0C0C0"/>
            <w:vAlign w:val="center"/>
          </w:tcPr>
          <w:p w14:paraId="56853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资本性支出</w:t>
            </w:r>
          </w:p>
        </w:tc>
        <w:tc>
          <w:tcPr>
            <w:tcW w:w="756" w:type="dxa"/>
            <w:tcBorders>
              <w:top w:val="nil"/>
              <w:left w:val="nil"/>
              <w:bottom w:val="single" w:color="000000" w:sz="4" w:space="0"/>
              <w:right w:val="single" w:color="000000" w:sz="4" w:space="0"/>
            </w:tcBorders>
            <w:shd w:val="clear" w:color="auto" w:fill="auto"/>
            <w:vAlign w:val="center"/>
          </w:tcPr>
          <w:p w14:paraId="499C2C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0E6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75724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30106</w:t>
            </w:r>
          </w:p>
        </w:tc>
        <w:tc>
          <w:tcPr>
            <w:tcW w:w="2293" w:type="dxa"/>
            <w:tcBorders>
              <w:top w:val="nil"/>
              <w:left w:val="nil"/>
              <w:bottom w:val="single" w:color="000000" w:sz="4" w:space="0"/>
              <w:right w:val="single" w:color="000000" w:sz="4" w:space="0"/>
            </w:tcBorders>
            <w:shd w:val="clear" w:color="FFFFFF" w:fill="C0C0C0"/>
            <w:vAlign w:val="center"/>
          </w:tcPr>
          <w:p w14:paraId="3A10A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伙食补助费</w:t>
            </w:r>
          </w:p>
        </w:tc>
        <w:tc>
          <w:tcPr>
            <w:tcW w:w="839" w:type="dxa"/>
            <w:tcBorders>
              <w:top w:val="nil"/>
              <w:left w:val="nil"/>
              <w:bottom w:val="single" w:color="000000" w:sz="4" w:space="0"/>
              <w:right w:val="single" w:color="000000" w:sz="4" w:space="0"/>
            </w:tcBorders>
            <w:shd w:val="clear" w:color="auto" w:fill="auto"/>
            <w:vAlign w:val="center"/>
          </w:tcPr>
          <w:p w14:paraId="1453B4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0.43</w:t>
            </w:r>
          </w:p>
        </w:tc>
        <w:tc>
          <w:tcPr>
            <w:tcW w:w="718" w:type="dxa"/>
            <w:tcBorders>
              <w:top w:val="nil"/>
              <w:left w:val="nil"/>
              <w:bottom w:val="single" w:color="000000" w:sz="4" w:space="0"/>
              <w:right w:val="single" w:color="000000" w:sz="4" w:space="0"/>
            </w:tcBorders>
            <w:shd w:val="clear" w:color="FFFFFF" w:fill="C0C0C0"/>
            <w:vAlign w:val="center"/>
          </w:tcPr>
          <w:p w14:paraId="71158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30204</w:t>
            </w:r>
          </w:p>
        </w:tc>
        <w:tc>
          <w:tcPr>
            <w:tcW w:w="1746" w:type="dxa"/>
            <w:tcBorders>
              <w:top w:val="nil"/>
              <w:left w:val="nil"/>
              <w:bottom w:val="single" w:color="000000" w:sz="4" w:space="0"/>
              <w:right w:val="single" w:color="000000" w:sz="4" w:space="0"/>
            </w:tcBorders>
            <w:shd w:val="clear" w:color="FFFFFF" w:fill="C0C0C0"/>
            <w:vAlign w:val="center"/>
          </w:tcPr>
          <w:p w14:paraId="7F066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手续费</w:t>
            </w:r>
          </w:p>
        </w:tc>
        <w:tc>
          <w:tcPr>
            <w:tcW w:w="886" w:type="dxa"/>
            <w:tcBorders>
              <w:top w:val="nil"/>
              <w:left w:val="nil"/>
              <w:bottom w:val="single" w:color="000000" w:sz="4" w:space="0"/>
              <w:right w:val="single" w:color="000000" w:sz="4" w:space="0"/>
            </w:tcBorders>
            <w:shd w:val="clear" w:color="auto" w:fill="auto"/>
            <w:vAlign w:val="center"/>
          </w:tcPr>
          <w:p w14:paraId="51FD2A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0B60A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31001</w:t>
            </w:r>
          </w:p>
        </w:tc>
        <w:tc>
          <w:tcPr>
            <w:tcW w:w="2165" w:type="dxa"/>
            <w:tcBorders>
              <w:top w:val="nil"/>
              <w:left w:val="nil"/>
              <w:bottom w:val="single" w:color="000000" w:sz="4" w:space="0"/>
              <w:right w:val="single" w:color="000000" w:sz="4" w:space="0"/>
            </w:tcBorders>
            <w:shd w:val="clear" w:color="FFFFFF" w:fill="C0C0C0"/>
            <w:vAlign w:val="center"/>
          </w:tcPr>
          <w:p w14:paraId="4E225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房屋建筑物购建</w:t>
            </w:r>
          </w:p>
        </w:tc>
        <w:tc>
          <w:tcPr>
            <w:tcW w:w="756" w:type="dxa"/>
            <w:tcBorders>
              <w:top w:val="nil"/>
              <w:left w:val="nil"/>
              <w:bottom w:val="single" w:color="000000" w:sz="4" w:space="0"/>
              <w:right w:val="single" w:color="000000" w:sz="4" w:space="0"/>
            </w:tcBorders>
            <w:shd w:val="clear" w:color="auto" w:fill="auto"/>
            <w:vAlign w:val="center"/>
          </w:tcPr>
          <w:p w14:paraId="7CFB9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015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49F37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2293" w:type="dxa"/>
            <w:tcBorders>
              <w:top w:val="nil"/>
              <w:left w:val="nil"/>
              <w:bottom w:val="single" w:color="000000" w:sz="4" w:space="0"/>
              <w:right w:val="single" w:color="000000" w:sz="4" w:space="0"/>
            </w:tcBorders>
            <w:shd w:val="clear" w:color="FFFFFF" w:fill="C0C0C0"/>
            <w:vAlign w:val="center"/>
          </w:tcPr>
          <w:p w14:paraId="68D67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绩效工资</w:t>
            </w:r>
          </w:p>
        </w:tc>
        <w:tc>
          <w:tcPr>
            <w:tcW w:w="839" w:type="dxa"/>
            <w:tcBorders>
              <w:top w:val="nil"/>
              <w:left w:val="nil"/>
              <w:bottom w:val="single" w:color="000000" w:sz="4" w:space="0"/>
              <w:right w:val="single" w:color="000000" w:sz="4" w:space="0"/>
            </w:tcBorders>
            <w:shd w:val="clear" w:color="auto" w:fill="auto"/>
            <w:vAlign w:val="center"/>
          </w:tcPr>
          <w:p w14:paraId="6CB059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132.60</w:t>
            </w:r>
          </w:p>
        </w:tc>
        <w:tc>
          <w:tcPr>
            <w:tcW w:w="718" w:type="dxa"/>
            <w:tcBorders>
              <w:top w:val="nil"/>
              <w:left w:val="nil"/>
              <w:bottom w:val="single" w:color="000000" w:sz="4" w:space="0"/>
              <w:right w:val="single" w:color="000000" w:sz="4" w:space="0"/>
            </w:tcBorders>
            <w:shd w:val="clear" w:color="FFFFFF" w:fill="C0C0C0"/>
            <w:vAlign w:val="center"/>
          </w:tcPr>
          <w:p w14:paraId="53181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30205</w:t>
            </w:r>
          </w:p>
        </w:tc>
        <w:tc>
          <w:tcPr>
            <w:tcW w:w="1746" w:type="dxa"/>
            <w:tcBorders>
              <w:top w:val="nil"/>
              <w:left w:val="nil"/>
              <w:bottom w:val="single" w:color="000000" w:sz="4" w:space="0"/>
              <w:right w:val="single" w:color="000000" w:sz="4" w:space="0"/>
            </w:tcBorders>
            <w:shd w:val="clear" w:color="FFFFFF" w:fill="C0C0C0"/>
            <w:vAlign w:val="center"/>
          </w:tcPr>
          <w:p w14:paraId="28D52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水费</w:t>
            </w:r>
          </w:p>
        </w:tc>
        <w:tc>
          <w:tcPr>
            <w:tcW w:w="886" w:type="dxa"/>
            <w:tcBorders>
              <w:top w:val="nil"/>
              <w:left w:val="nil"/>
              <w:bottom w:val="single" w:color="000000" w:sz="4" w:space="0"/>
              <w:right w:val="single" w:color="000000" w:sz="4" w:space="0"/>
            </w:tcBorders>
            <w:shd w:val="clear" w:color="auto" w:fill="auto"/>
            <w:vAlign w:val="center"/>
          </w:tcPr>
          <w:p w14:paraId="56993F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0.08</w:t>
            </w:r>
          </w:p>
        </w:tc>
        <w:tc>
          <w:tcPr>
            <w:tcW w:w="718" w:type="dxa"/>
            <w:tcBorders>
              <w:top w:val="nil"/>
              <w:left w:val="nil"/>
              <w:bottom w:val="single" w:color="000000" w:sz="4" w:space="0"/>
              <w:right w:val="single" w:color="000000" w:sz="4" w:space="0"/>
            </w:tcBorders>
            <w:shd w:val="clear" w:color="FFFFFF" w:fill="C0C0C0"/>
            <w:vAlign w:val="center"/>
          </w:tcPr>
          <w:p w14:paraId="1B8EA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31002</w:t>
            </w:r>
          </w:p>
        </w:tc>
        <w:tc>
          <w:tcPr>
            <w:tcW w:w="2165" w:type="dxa"/>
            <w:tcBorders>
              <w:top w:val="nil"/>
              <w:left w:val="nil"/>
              <w:bottom w:val="single" w:color="000000" w:sz="4" w:space="0"/>
              <w:right w:val="single" w:color="000000" w:sz="4" w:space="0"/>
            </w:tcBorders>
            <w:shd w:val="clear" w:color="FFFFFF" w:fill="C0C0C0"/>
            <w:vAlign w:val="center"/>
          </w:tcPr>
          <w:p w14:paraId="03B39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办公设备购置</w:t>
            </w:r>
          </w:p>
        </w:tc>
        <w:tc>
          <w:tcPr>
            <w:tcW w:w="756" w:type="dxa"/>
            <w:tcBorders>
              <w:top w:val="nil"/>
              <w:left w:val="nil"/>
              <w:bottom w:val="single" w:color="000000" w:sz="4" w:space="0"/>
              <w:right w:val="single" w:color="000000" w:sz="4" w:space="0"/>
            </w:tcBorders>
            <w:shd w:val="clear" w:color="auto" w:fill="auto"/>
            <w:vAlign w:val="center"/>
          </w:tcPr>
          <w:p w14:paraId="4920A8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0C7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5132E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2293" w:type="dxa"/>
            <w:tcBorders>
              <w:top w:val="nil"/>
              <w:left w:val="nil"/>
              <w:bottom w:val="single" w:color="000000" w:sz="4" w:space="0"/>
              <w:right w:val="single" w:color="000000" w:sz="4" w:space="0"/>
            </w:tcBorders>
            <w:shd w:val="clear" w:color="FFFFFF" w:fill="C0C0C0"/>
            <w:vAlign w:val="center"/>
          </w:tcPr>
          <w:p w14:paraId="3A2B3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w:t>
            </w:r>
          </w:p>
        </w:tc>
        <w:tc>
          <w:tcPr>
            <w:tcW w:w="839" w:type="dxa"/>
            <w:tcBorders>
              <w:top w:val="nil"/>
              <w:left w:val="nil"/>
              <w:bottom w:val="single" w:color="000000" w:sz="4" w:space="0"/>
              <w:right w:val="single" w:color="000000" w:sz="4" w:space="0"/>
            </w:tcBorders>
            <w:shd w:val="clear" w:color="auto" w:fill="auto"/>
            <w:vAlign w:val="center"/>
          </w:tcPr>
          <w:p w14:paraId="0BBC68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18.47</w:t>
            </w:r>
          </w:p>
        </w:tc>
        <w:tc>
          <w:tcPr>
            <w:tcW w:w="718" w:type="dxa"/>
            <w:tcBorders>
              <w:top w:val="nil"/>
              <w:left w:val="nil"/>
              <w:bottom w:val="single" w:color="000000" w:sz="4" w:space="0"/>
              <w:right w:val="single" w:color="000000" w:sz="4" w:space="0"/>
            </w:tcBorders>
            <w:shd w:val="clear" w:color="FFFFFF" w:fill="C0C0C0"/>
            <w:vAlign w:val="center"/>
          </w:tcPr>
          <w:p w14:paraId="696D3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30206</w:t>
            </w:r>
          </w:p>
        </w:tc>
        <w:tc>
          <w:tcPr>
            <w:tcW w:w="1746" w:type="dxa"/>
            <w:tcBorders>
              <w:top w:val="nil"/>
              <w:left w:val="nil"/>
              <w:bottom w:val="single" w:color="000000" w:sz="4" w:space="0"/>
              <w:right w:val="single" w:color="000000" w:sz="4" w:space="0"/>
            </w:tcBorders>
            <w:shd w:val="clear" w:color="FFFFFF" w:fill="C0C0C0"/>
            <w:vAlign w:val="center"/>
          </w:tcPr>
          <w:p w14:paraId="13685F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电费</w:t>
            </w:r>
          </w:p>
        </w:tc>
        <w:tc>
          <w:tcPr>
            <w:tcW w:w="886" w:type="dxa"/>
            <w:tcBorders>
              <w:top w:val="nil"/>
              <w:left w:val="nil"/>
              <w:bottom w:val="single" w:color="000000" w:sz="4" w:space="0"/>
              <w:right w:val="single" w:color="000000" w:sz="4" w:space="0"/>
            </w:tcBorders>
            <w:shd w:val="clear" w:color="auto" w:fill="auto"/>
            <w:vAlign w:val="center"/>
          </w:tcPr>
          <w:p w14:paraId="3D71CD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0.94</w:t>
            </w:r>
          </w:p>
        </w:tc>
        <w:tc>
          <w:tcPr>
            <w:tcW w:w="718" w:type="dxa"/>
            <w:tcBorders>
              <w:top w:val="nil"/>
              <w:left w:val="nil"/>
              <w:bottom w:val="single" w:color="000000" w:sz="4" w:space="0"/>
              <w:right w:val="single" w:color="000000" w:sz="4" w:space="0"/>
            </w:tcBorders>
            <w:shd w:val="clear" w:color="FFFFFF" w:fill="C0C0C0"/>
            <w:vAlign w:val="center"/>
          </w:tcPr>
          <w:p w14:paraId="29CC9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31003</w:t>
            </w:r>
          </w:p>
        </w:tc>
        <w:tc>
          <w:tcPr>
            <w:tcW w:w="2165" w:type="dxa"/>
            <w:tcBorders>
              <w:top w:val="nil"/>
              <w:left w:val="nil"/>
              <w:bottom w:val="single" w:color="000000" w:sz="4" w:space="0"/>
              <w:right w:val="single" w:color="000000" w:sz="4" w:space="0"/>
            </w:tcBorders>
            <w:shd w:val="clear" w:color="FFFFFF" w:fill="C0C0C0"/>
            <w:vAlign w:val="center"/>
          </w:tcPr>
          <w:p w14:paraId="0BD31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专用设备购置</w:t>
            </w:r>
          </w:p>
        </w:tc>
        <w:tc>
          <w:tcPr>
            <w:tcW w:w="756" w:type="dxa"/>
            <w:tcBorders>
              <w:top w:val="nil"/>
              <w:left w:val="nil"/>
              <w:bottom w:val="single" w:color="000000" w:sz="4" w:space="0"/>
              <w:right w:val="single" w:color="000000" w:sz="4" w:space="0"/>
            </w:tcBorders>
            <w:shd w:val="clear" w:color="auto" w:fill="auto"/>
            <w:vAlign w:val="center"/>
          </w:tcPr>
          <w:p w14:paraId="6A78B4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645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4B9DD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2293" w:type="dxa"/>
            <w:tcBorders>
              <w:top w:val="nil"/>
              <w:left w:val="nil"/>
              <w:bottom w:val="single" w:color="000000" w:sz="4" w:space="0"/>
              <w:right w:val="single" w:color="000000" w:sz="4" w:space="0"/>
            </w:tcBorders>
            <w:shd w:val="clear" w:color="FFFFFF" w:fill="C0C0C0"/>
            <w:vAlign w:val="center"/>
          </w:tcPr>
          <w:p w14:paraId="24D1C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职业年金缴费</w:t>
            </w:r>
          </w:p>
        </w:tc>
        <w:tc>
          <w:tcPr>
            <w:tcW w:w="839" w:type="dxa"/>
            <w:tcBorders>
              <w:top w:val="nil"/>
              <w:left w:val="nil"/>
              <w:bottom w:val="single" w:color="000000" w:sz="4" w:space="0"/>
              <w:right w:val="single" w:color="000000" w:sz="4" w:space="0"/>
            </w:tcBorders>
            <w:shd w:val="clear" w:color="auto" w:fill="auto"/>
            <w:vAlign w:val="center"/>
          </w:tcPr>
          <w:p w14:paraId="6DE074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02FDA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30207</w:t>
            </w:r>
          </w:p>
        </w:tc>
        <w:tc>
          <w:tcPr>
            <w:tcW w:w="1746" w:type="dxa"/>
            <w:tcBorders>
              <w:top w:val="nil"/>
              <w:left w:val="nil"/>
              <w:bottom w:val="single" w:color="000000" w:sz="4" w:space="0"/>
              <w:right w:val="single" w:color="000000" w:sz="4" w:space="0"/>
            </w:tcBorders>
            <w:shd w:val="clear" w:color="FFFFFF" w:fill="C0C0C0"/>
            <w:vAlign w:val="center"/>
          </w:tcPr>
          <w:p w14:paraId="5133B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邮电费</w:t>
            </w:r>
          </w:p>
        </w:tc>
        <w:tc>
          <w:tcPr>
            <w:tcW w:w="886" w:type="dxa"/>
            <w:tcBorders>
              <w:top w:val="nil"/>
              <w:left w:val="nil"/>
              <w:bottom w:val="single" w:color="000000" w:sz="4" w:space="0"/>
              <w:right w:val="single" w:color="000000" w:sz="4" w:space="0"/>
            </w:tcBorders>
            <w:shd w:val="clear" w:color="auto" w:fill="auto"/>
            <w:vAlign w:val="center"/>
          </w:tcPr>
          <w:p w14:paraId="0CC3C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2.86</w:t>
            </w:r>
          </w:p>
        </w:tc>
        <w:tc>
          <w:tcPr>
            <w:tcW w:w="718" w:type="dxa"/>
            <w:tcBorders>
              <w:top w:val="nil"/>
              <w:left w:val="nil"/>
              <w:bottom w:val="single" w:color="000000" w:sz="4" w:space="0"/>
              <w:right w:val="single" w:color="000000" w:sz="4" w:space="0"/>
            </w:tcBorders>
            <w:shd w:val="clear" w:color="FFFFFF" w:fill="C0C0C0"/>
            <w:vAlign w:val="center"/>
          </w:tcPr>
          <w:p w14:paraId="328B0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31005</w:t>
            </w:r>
          </w:p>
        </w:tc>
        <w:tc>
          <w:tcPr>
            <w:tcW w:w="2165" w:type="dxa"/>
            <w:tcBorders>
              <w:top w:val="nil"/>
              <w:left w:val="nil"/>
              <w:bottom w:val="single" w:color="000000" w:sz="4" w:space="0"/>
              <w:right w:val="single" w:color="000000" w:sz="4" w:space="0"/>
            </w:tcBorders>
            <w:shd w:val="clear" w:color="FFFFFF" w:fill="C0C0C0"/>
            <w:vAlign w:val="center"/>
          </w:tcPr>
          <w:p w14:paraId="2D09C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基础设施建设</w:t>
            </w:r>
          </w:p>
        </w:tc>
        <w:tc>
          <w:tcPr>
            <w:tcW w:w="756" w:type="dxa"/>
            <w:tcBorders>
              <w:top w:val="nil"/>
              <w:left w:val="nil"/>
              <w:bottom w:val="single" w:color="000000" w:sz="4" w:space="0"/>
              <w:right w:val="single" w:color="000000" w:sz="4" w:space="0"/>
            </w:tcBorders>
            <w:shd w:val="clear" w:color="auto" w:fill="auto"/>
            <w:vAlign w:val="center"/>
          </w:tcPr>
          <w:p w14:paraId="474EF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F26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18072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2293" w:type="dxa"/>
            <w:tcBorders>
              <w:top w:val="nil"/>
              <w:left w:val="nil"/>
              <w:bottom w:val="single" w:color="000000" w:sz="4" w:space="0"/>
              <w:right w:val="single" w:color="000000" w:sz="4" w:space="0"/>
            </w:tcBorders>
            <w:shd w:val="clear" w:color="FFFFFF" w:fill="C0C0C0"/>
            <w:vAlign w:val="center"/>
          </w:tcPr>
          <w:p w14:paraId="1C348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职工基本医疗保险缴费</w:t>
            </w:r>
          </w:p>
        </w:tc>
        <w:tc>
          <w:tcPr>
            <w:tcW w:w="839" w:type="dxa"/>
            <w:tcBorders>
              <w:top w:val="nil"/>
              <w:left w:val="nil"/>
              <w:bottom w:val="single" w:color="000000" w:sz="4" w:space="0"/>
              <w:right w:val="single" w:color="000000" w:sz="4" w:space="0"/>
            </w:tcBorders>
            <w:shd w:val="clear" w:color="auto" w:fill="auto"/>
            <w:vAlign w:val="center"/>
          </w:tcPr>
          <w:p w14:paraId="524322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9.74</w:t>
            </w:r>
          </w:p>
        </w:tc>
        <w:tc>
          <w:tcPr>
            <w:tcW w:w="718" w:type="dxa"/>
            <w:tcBorders>
              <w:top w:val="nil"/>
              <w:left w:val="nil"/>
              <w:bottom w:val="single" w:color="000000" w:sz="4" w:space="0"/>
              <w:right w:val="single" w:color="000000" w:sz="4" w:space="0"/>
            </w:tcBorders>
            <w:shd w:val="clear" w:color="FFFFFF" w:fill="C0C0C0"/>
            <w:vAlign w:val="center"/>
          </w:tcPr>
          <w:p w14:paraId="521C0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30208</w:t>
            </w:r>
          </w:p>
        </w:tc>
        <w:tc>
          <w:tcPr>
            <w:tcW w:w="1746" w:type="dxa"/>
            <w:tcBorders>
              <w:top w:val="nil"/>
              <w:left w:val="nil"/>
              <w:bottom w:val="single" w:color="000000" w:sz="4" w:space="0"/>
              <w:right w:val="single" w:color="000000" w:sz="4" w:space="0"/>
            </w:tcBorders>
            <w:shd w:val="clear" w:color="FFFFFF" w:fill="C0C0C0"/>
            <w:vAlign w:val="center"/>
          </w:tcPr>
          <w:p w14:paraId="0594D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取暖费</w:t>
            </w:r>
          </w:p>
        </w:tc>
        <w:tc>
          <w:tcPr>
            <w:tcW w:w="886" w:type="dxa"/>
            <w:tcBorders>
              <w:top w:val="nil"/>
              <w:left w:val="nil"/>
              <w:bottom w:val="single" w:color="000000" w:sz="4" w:space="0"/>
              <w:right w:val="single" w:color="000000" w:sz="4" w:space="0"/>
            </w:tcBorders>
            <w:shd w:val="clear" w:color="auto" w:fill="auto"/>
            <w:vAlign w:val="center"/>
          </w:tcPr>
          <w:p w14:paraId="4907BB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0037B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31006</w:t>
            </w:r>
          </w:p>
        </w:tc>
        <w:tc>
          <w:tcPr>
            <w:tcW w:w="2165" w:type="dxa"/>
            <w:tcBorders>
              <w:top w:val="nil"/>
              <w:left w:val="nil"/>
              <w:bottom w:val="single" w:color="000000" w:sz="4" w:space="0"/>
              <w:right w:val="single" w:color="000000" w:sz="4" w:space="0"/>
            </w:tcBorders>
            <w:shd w:val="clear" w:color="FFFFFF" w:fill="C0C0C0"/>
            <w:vAlign w:val="center"/>
          </w:tcPr>
          <w:p w14:paraId="4BAFF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大型修缮</w:t>
            </w:r>
          </w:p>
        </w:tc>
        <w:tc>
          <w:tcPr>
            <w:tcW w:w="756" w:type="dxa"/>
            <w:tcBorders>
              <w:top w:val="nil"/>
              <w:left w:val="nil"/>
              <w:bottom w:val="single" w:color="000000" w:sz="4" w:space="0"/>
              <w:right w:val="single" w:color="000000" w:sz="4" w:space="0"/>
            </w:tcBorders>
            <w:shd w:val="clear" w:color="auto" w:fill="auto"/>
            <w:vAlign w:val="center"/>
          </w:tcPr>
          <w:p w14:paraId="75ABD6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13B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0F973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30111</w:t>
            </w:r>
          </w:p>
        </w:tc>
        <w:tc>
          <w:tcPr>
            <w:tcW w:w="2293" w:type="dxa"/>
            <w:tcBorders>
              <w:top w:val="nil"/>
              <w:left w:val="nil"/>
              <w:bottom w:val="single" w:color="000000" w:sz="4" w:space="0"/>
              <w:right w:val="single" w:color="000000" w:sz="4" w:space="0"/>
            </w:tcBorders>
            <w:shd w:val="clear" w:color="FFFFFF" w:fill="C0C0C0"/>
            <w:vAlign w:val="center"/>
          </w:tcPr>
          <w:p w14:paraId="3A20E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公务员医疗补助缴费</w:t>
            </w:r>
          </w:p>
        </w:tc>
        <w:tc>
          <w:tcPr>
            <w:tcW w:w="839" w:type="dxa"/>
            <w:tcBorders>
              <w:top w:val="nil"/>
              <w:left w:val="nil"/>
              <w:bottom w:val="single" w:color="000000" w:sz="4" w:space="0"/>
              <w:right w:val="single" w:color="000000" w:sz="4" w:space="0"/>
            </w:tcBorders>
            <w:shd w:val="clear" w:color="auto" w:fill="auto"/>
            <w:vAlign w:val="center"/>
          </w:tcPr>
          <w:p w14:paraId="328E30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11.32</w:t>
            </w:r>
          </w:p>
        </w:tc>
        <w:tc>
          <w:tcPr>
            <w:tcW w:w="718" w:type="dxa"/>
            <w:tcBorders>
              <w:top w:val="nil"/>
              <w:left w:val="nil"/>
              <w:bottom w:val="single" w:color="000000" w:sz="4" w:space="0"/>
              <w:right w:val="single" w:color="000000" w:sz="4" w:space="0"/>
            </w:tcBorders>
            <w:shd w:val="clear" w:color="FFFFFF" w:fill="C0C0C0"/>
            <w:vAlign w:val="center"/>
          </w:tcPr>
          <w:p w14:paraId="56822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30209</w:t>
            </w:r>
          </w:p>
        </w:tc>
        <w:tc>
          <w:tcPr>
            <w:tcW w:w="1746" w:type="dxa"/>
            <w:tcBorders>
              <w:top w:val="nil"/>
              <w:left w:val="nil"/>
              <w:bottom w:val="single" w:color="000000" w:sz="4" w:space="0"/>
              <w:right w:val="single" w:color="000000" w:sz="4" w:space="0"/>
            </w:tcBorders>
            <w:shd w:val="clear" w:color="FFFFFF" w:fill="C0C0C0"/>
            <w:vAlign w:val="center"/>
          </w:tcPr>
          <w:p w14:paraId="054B0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物业管理费</w:t>
            </w:r>
          </w:p>
        </w:tc>
        <w:tc>
          <w:tcPr>
            <w:tcW w:w="886" w:type="dxa"/>
            <w:tcBorders>
              <w:top w:val="nil"/>
              <w:left w:val="nil"/>
              <w:bottom w:val="single" w:color="000000" w:sz="4" w:space="0"/>
              <w:right w:val="single" w:color="000000" w:sz="4" w:space="0"/>
            </w:tcBorders>
            <w:shd w:val="clear" w:color="auto" w:fill="auto"/>
            <w:vAlign w:val="center"/>
          </w:tcPr>
          <w:p w14:paraId="190208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0.24</w:t>
            </w:r>
          </w:p>
        </w:tc>
        <w:tc>
          <w:tcPr>
            <w:tcW w:w="718" w:type="dxa"/>
            <w:tcBorders>
              <w:top w:val="nil"/>
              <w:left w:val="nil"/>
              <w:bottom w:val="single" w:color="000000" w:sz="4" w:space="0"/>
              <w:right w:val="single" w:color="000000" w:sz="4" w:space="0"/>
            </w:tcBorders>
            <w:shd w:val="clear" w:color="FFFFFF" w:fill="C0C0C0"/>
            <w:vAlign w:val="center"/>
          </w:tcPr>
          <w:p w14:paraId="07BAE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31007</w:t>
            </w:r>
          </w:p>
        </w:tc>
        <w:tc>
          <w:tcPr>
            <w:tcW w:w="2165" w:type="dxa"/>
            <w:tcBorders>
              <w:top w:val="nil"/>
              <w:left w:val="nil"/>
              <w:bottom w:val="single" w:color="000000" w:sz="4" w:space="0"/>
              <w:right w:val="single" w:color="000000" w:sz="4" w:space="0"/>
            </w:tcBorders>
            <w:shd w:val="clear" w:color="FFFFFF" w:fill="C0C0C0"/>
            <w:vAlign w:val="center"/>
          </w:tcPr>
          <w:p w14:paraId="774E1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信息网络及软件购置更新</w:t>
            </w:r>
          </w:p>
        </w:tc>
        <w:tc>
          <w:tcPr>
            <w:tcW w:w="756" w:type="dxa"/>
            <w:tcBorders>
              <w:top w:val="nil"/>
              <w:left w:val="nil"/>
              <w:bottom w:val="single" w:color="000000" w:sz="4" w:space="0"/>
              <w:right w:val="single" w:color="000000" w:sz="4" w:space="0"/>
            </w:tcBorders>
            <w:shd w:val="clear" w:color="auto" w:fill="auto"/>
            <w:vAlign w:val="center"/>
          </w:tcPr>
          <w:p w14:paraId="74AD70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FCF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05839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2293" w:type="dxa"/>
            <w:tcBorders>
              <w:top w:val="nil"/>
              <w:left w:val="nil"/>
              <w:bottom w:val="single" w:color="000000" w:sz="4" w:space="0"/>
              <w:right w:val="single" w:color="000000" w:sz="4" w:space="0"/>
            </w:tcBorders>
            <w:shd w:val="clear" w:color="FFFFFF" w:fill="C0C0C0"/>
            <w:vAlign w:val="center"/>
          </w:tcPr>
          <w:p w14:paraId="3EA33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其他社会保障缴费</w:t>
            </w:r>
          </w:p>
        </w:tc>
        <w:tc>
          <w:tcPr>
            <w:tcW w:w="839" w:type="dxa"/>
            <w:tcBorders>
              <w:top w:val="nil"/>
              <w:left w:val="nil"/>
              <w:bottom w:val="single" w:color="000000" w:sz="4" w:space="0"/>
              <w:right w:val="single" w:color="000000" w:sz="4" w:space="0"/>
            </w:tcBorders>
            <w:shd w:val="clear" w:color="auto" w:fill="auto"/>
            <w:vAlign w:val="center"/>
          </w:tcPr>
          <w:p w14:paraId="7D7B7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4.54</w:t>
            </w:r>
          </w:p>
        </w:tc>
        <w:tc>
          <w:tcPr>
            <w:tcW w:w="718" w:type="dxa"/>
            <w:tcBorders>
              <w:top w:val="nil"/>
              <w:left w:val="nil"/>
              <w:bottom w:val="single" w:color="000000" w:sz="4" w:space="0"/>
              <w:right w:val="single" w:color="000000" w:sz="4" w:space="0"/>
            </w:tcBorders>
            <w:shd w:val="clear" w:color="FFFFFF" w:fill="C0C0C0"/>
            <w:vAlign w:val="center"/>
          </w:tcPr>
          <w:p w14:paraId="00915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1746" w:type="dxa"/>
            <w:tcBorders>
              <w:top w:val="nil"/>
              <w:left w:val="nil"/>
              <w:bottom w:val="single" w:color="000000" w:sz="4" w:space="0"/>
              <w:right w:val="single" w:color="000000" w:sz="4" w:space="0"/>
            </w:tcBorders>
            <w:shd w:val="clear" w:color="FFFFFF" w:fill="C0C0C0"/>
            <w:vAlign w:val="center"/>
          </w:tcPr>
          <w:p w14:paraId="763FC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差旅费</w:t>
            </w:r>
          </w:p>
        </w:tc>
        <w:tc>
          <w:tcPr>
            <w:tcW w:w="886" w:type="dxa"/>
            <w:tcBorders>
              <w:top w:val="nil"/>
              <w:left w:val="nil"/>
              <w:bottom w:val="single" w:color="000000" w:sz="4" w:space="0"/>
              <w:right w:val="single" w:color="000000" w:sz="4" w:space="0"/>
            </w:tcBorders>
            <w:shd w:val="clear" w:color="auto" w:fill="auto"/>
            <w:vAlign w:val="center"/>
          </w:tcPr>
          <w:p w14:paraId="56B395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0.10</w:t>
            </w:r>
          </w:p>
        </w:tc>
        <w:tc>
          <w:tcPr>
            <w:tcW w:w="718" w:type="dxa"/>
            <w:tcBorders>
              <w:top w:val="nil"/>
              <w:left w:val="nil"/>
              <w:bottom w:val="single" w:color="000000" w:sz="4" w:space="0"/>
              <w:right w:val="single" w:color="000000" w:sz="4" w:space="0"/>
            </w:tcBorders>
            <w:shd w:val="clear" w:color="FFFFFF" w:fill="C0C0C0"/>
            <w:vAlign w:val="center"/>
          </w:tcPr>
          <w:p w14:paraId="5DA8D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31008</w:t>
            </w:r>
          </w:p>
        </w:tc>
        <w:tc>
          <w:tcPr>
            <w:tcW w:w="2165" w:type="dxa"/>
            <w:tcBorders>
              <w:top w:val="nil"/>
              <w:left w:val="nil"/>
              <w:bottom w:val="single" w:color="000000" w:sz="4" w:space="0"/>
              <w:right w:val="single" w:color="000000" w:sz="4" w:space="0"/>
            </w:tcBorders>
            <w:shd w:val="clear" w:color="FFFFFF" w:fill="C0C0C0"/>
            <w:vAlign w:val="center"/>
          </w:tcPr>
          <w:p w14:paraId="50016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物资储备</w:t>
            </w:r>
          </w:p>
        </w:tc>
        <w:tc>
          <w:tcPr>
            <w:tcW w:w="756" w:type="dxa"/>
            <w:tcBorders>
              <w:top w:val="nil"/>
              <w:left w:val="nil"/>
              <w:bottom w:val="single" w:color="000000" w:sz="4" w:space="0"/>
              <w:right w:val="single" w:color="000000" w:sz="4" w:space="0"/>
            </w:tcBorders>
            <w:shd w:val="clear" w:color="auto" w:fill="auto"/>
            <w:vAlign w:val="center"/>
          </w:tcPr>
          <w:p w14:paraId="2FA27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2BE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2F105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2293" w:type="dxa"/>
            <w:tcBorders>
              <w:top w:val="nil"/>
              <w:left w:val="nil"/>
              <w:bottom w:val="single" w:color="000000" w:sz="4" w:space="0"/>
              <w:right w:val="single" w:color="000000" w:sz="4" w:space="0"/>
            </w:tcBorders>
            <w:shd w:val="clear" w:color="FFFFFF" w:fill="C0C0C0"/>
            <w:vAlign w:val="center"/>
          </w:tcPr>
          <w:p w14:paraId="1DF95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住房公积金</w:t>
            </w:r>
          </w:p>
        </w:tc>
        <w:tc>
          <w:tcPr>
            <w:tcW w:w="839" w:type="dxa"/>
            <w:tcBorders>
              <w:top w:val="nil"/>
              <w:left w:val="nil"/>
              <w:bottom w:val="single" w:color="000000" w:sz="4" w:space="0"/>
              <w:right w:val="single" w:color="000000" w:sz="4" w:space="0"/>
            </w:tcBorders>
            <w:shd w:val="clear" w:color="auto" w:fill="auto"/>
            <w:vAlign w:val="center"/>
          </w:tcPr>
          <w:p w14:paraId="26627C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13.97</w:t>
            </w:r>
          </w:p>
        </w:tc>
        <w:tc>
          <w:tcPr>
            <w:tcW w:w="718" w:type="dxa"/>
            <w:tcBorders>
              <w:top w:val="nil"/>
              <w:left w:val="nil"/>
              <w:bottom w:val="single" w:color="000000" w:sz="4" w:space="0"/>
              <w:right w:val="single" w:color="000000" w:sz="4" w:space="0"/>
            </w:tcBorders>
            <w:shd w:val="clear" w:color="FFFFFF" w:fill="C0C0C0"/>
            <w:vAlign w:val="center"/>
          </w:tcPr>
          <w:p w14:paraId="48483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30212</w:t>
            </w:r>
          </w:p>
        </w:tc>
        <w:tc>
          <w:tcPr>
            <w:tcW w:w="1746" w:type="dxa"/>
            <w:tcBorders>
              <w:top w:val="nil"/>
              <w:left w:val="nil"/>
              <w:bottom w:val="single" w:color="000000" w:sz="4" w:space="0"/>
              <w:right w:val="single" w:color="000000" w:sz="4" w:space="0"/>
            </w:tcBorders>
            <w:shd w:val="clear" w:color="FFFFFF" w:fill="C0C0C0"/>
            <w:vAlign w:val="center"/>
          </w:tcPr>
          <w:p w14:paraId="13E9A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因公出国（境）费用</w:t>
            </w:r>
          </w:p>
        </w:tc>
        <w:tc>
          <w:tcPr>
            <w:tcW w:w="886" w:type="dxa"/>
            <w:tcBorders>
              <w:top w:val="nil"/>
              <w:left w:val="nil"/>
              <w:bottom w:val="single" w:color="000000" w:sz="4" w:space="0"/>
              <w:right w:val="single" w:color="000000" w:sz="4" w:space="0"/>
            </w:tcBorders>
            <w:shd w:val="clear" w:color="auto" w:fill="auto"/>
            <w:vAlign w:val="center"/>
          </w:tcPr>
          <w:p w14:paraId="75CAA2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5CA7D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31009</w:t>
            </w:r>
          </w:p>
        </w:tc>
        <w:tc>
          <w:tcPr>
            <w:tcW w:w="2165" w:type="dxa"/>
            <w:tcBorders>
              <w:top w:val="nil"/>
              <w:left w:val="nil"/>
              <w:bottom w:val="single" w:color="000000" w:sz="4" w:space="0"/>
              <w:right w:val="single" w:color="000000" w:sz="4" w:space="0"/>
            </w:tcBorders>
            <w:shd w:val="clear" w:color="FFFFFF" w:fill="C0C0C0"/>
            <w:vAlign w:val="center"/>
          </w:tcPr>
          <w:p w14:paraId="42FFD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土地补偿</w:t>
            </w:r>
          </w:p>
        </w:tc>
        <w:tc>
          <w:tcPr>
            <w:tcW w:w="756" w:type="dxa"/>
            <w:tcBorders>
              <w:top w:val="nil"/>
              <w:left w:val="nil"/>
              <w:bottom w:val="single" w:color="000000" w:sz="4" w:space="0"/>
              <w:right w:val="single" w:color="000000" w:sz="4" w:space="0"/>
            </w:tcBorders>
            <w:shd w:val="clear" w:color="auto" w:fill="auto"/>
            <w:vAlign w:val="center"/>
          </w:tcPr>
          <w:p w14:paraId="2FC69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39C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2638A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30114</w:t>
            </w:r>
          </w:p>
        </w:tc>
        <w:tc>
          <w:tcPr>
            <w:tcW w:w="2293" w:type="dxa"/>
            <w:tcBorders>
              <w:top w:val="nil"/>
              <w:left w:val="nil"/>
              <w:bottom w:val="single" w:color="000000" w:sz="4" w:space="0"/>
              <w:right w:val="single" w:color="000000" w:sz="4" w:space="0"/>
            </w:tcBorders>
            <w:shd w:val="clear" w:color="FFFFFF" w:fill="C0C0C0"/>
            <w:vAlign w:val="center"/>
          </w:tcPr>
          <w:p w14:paraId="3B9ED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医疗费</w:t>
            </w:r>
          </w:p>
        </w:tc>
        <w:tc>
          <w:tcPr>
            <w:tcW w:w="839" w:type="dxa"/>
            <w:tcBorders>
              <w:top w:val="nil"/>
              <w:left w:val="nil"/>
              <w:bottom w:val="single" w:color="000000" w:sz="4" w:space="0"/>
              <w:right w:val="single" w:color="000000" w:sz="4" w:space="0"/>
            </w:tcBorders>
            <w:shd w:val="clear" w:color="auto" w:fill="auto"/>
            <w:vAlign w:val="center"/>
          </w:tcPr>
          <w:p w14:paraId="0CFEB7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12DB5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30213</w:t>
            </w:r>
          </w:p>
        </w:tc>
        <w:tc>
          <w:tcPr>
            <w:tcW w:w="1746" w:type="dxa"/>
            <w:tcBorders>
              <w:top w:val="nil"/>
              <w:left w:val="nil"/>
              <w:bottom w:val="single" w:color="000000" w:sz="4" w:space="0"/>
              <w:right w:val="single" w:color="000000" w:sz="4" w:space="0"/>
            </w:tcBorders>
            <w:shd w:val="clear" w:color="FFFFFF" w:fill="C0C0C0"/>
            <w:vAlign w:val="center"/>
          </w:tcPr>
          <w:p w14:paraId="32F63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维修（护）费</w:t>
            </w:r>
          </w:p>
        </w:tc>
        <w:tc>
          <w:tcPr>
            <w:tcW w:w="886" w:type="dxa"/>
            <w:tcBorders>
              <w:top w:val="nil"/>
              <w:left w:val="nil"/>
              <w:bottom w:val="single" w:color="000000" w:sz="4" w:space="0"/>
              <w:right w:val="single" w:color="000000" w:sz="4" w:space="0"/>
            </w:tcBorders>
            <w:shd w:val="clear" w:color="auto" w:fill="auto"/>
            <w:vAlign w:val="center"/>
          </w:tcPr>
          <w:p w14:paraId="388BB0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0.52</w:t>
            </w:r>
          </w:p>
        </w:tc>
        <w:tc>
          <w:tcPr>
            <w:tcW w:w="718" w:type="dxa"/>
            <w:tcBorders>
              <w:top w:val="nil"/>
              <w:left w:val="nil"/>
              <w:bottom w:val="single" w:color="000000" w:sz="4" w:space="0"/>
              <w:right w:val="single" w:color="000000" w:sz="4" w:space="0"/>
            </w:tcBorders>
            <w:shd w:val="clear" w:color="FFFFFF" w:fill="C0C0C0"/>
            <w:vAlign w:val="center"/>
          </w:tcPr>
          <w:p w14:paraId="19DC4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31010</w:t>
            </w:r>
          </w:p>
        </w:tc>
        <w:tc>
          <w:tcPr>
            <w:tcW w:w="2165" w:type="dxa"/>
            <w:tcBorders>
              <w:top w:val="nil"/>
              <w:left w:val="nil"/>
              <w:bottom w:val="single" w:color="000000" w:sz="4" w:space="0"/>
              <w:right w:val="single" w:color="000000" w:sz="4" w:space="0"/>
            </w:tcBorders>
            <w:shd w:val="clear" w:color="FFFFFF" w:fill="C0C0C0"/>
            <w:vAlign w:val="center"/>
          </w:tcPr>
          <w:p w14:paraId="2AB5E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安置补助</w:t>
            </w:r>
          </w:p>
        </w:tc>
        <w:tc>
          <w:tcPr>
            <w:tcW w:w="756" w:type="dxa"/>
            <w:tcBorders>
              <w:top w:val="nil"/>
              <w:left w:val="nil"/>
              <w:bottom w:val="single" w:color="000000" w:sz="4" w:space="0"/>
              <w:right w:val="single" w:color="000000" w:sz="4" w:space="0"/>
            </w:tcBorders>
            <w:shd w:val="clear" w:color="auto" w:fill="auto"/>
            <w:vAlign w:val="center"/>
          </w:tcPr>
          <w:p w14:paraId="359271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B6E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5893E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30199</w:t>
            </w:r>
          </w:p>
        </w:tc>
        <w:tc>
          <w:tcPr>
            <w:tcW w:w="2293" w:type="dxa"/>
            <w:tcBorders>
              <w:top w:val="nil"/>
              <w:left w:val="nil"/>
              <w:bottom w:val="single" w:color="000000" w:sz="4" w:space="0"/>
              <w:right w:val="single" w:color="000000" w:sz="4" w:space="0"/>
            </w:tcBorders>
            <w:shd w:val="clear" w:color="FFFFFF" w:fill="C0C0C0"/>
            <w:vAlign w:val="center"/>
          </w:tcPr>
          <w:p w14:paraId="0D5C2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其他工资福利支出</w:t>
            </w:r>
          </w:p>
        </w:tc>
        <w:tc>
          <w:tcPr>
            <w:tcW w:w="839" w:type="dxa"/>
            <w:tcBorders>
              <w:top w:val="nil"/>
              <w:left w:val="nil"/>
              <w:bottom w:val="single" w:color="000000" w:sz="4" w:space="0"/>
              <w:right w:val="single" w:color="000000" w:sz="4" w:space="0"/>
            </w:tcBorders>
            <w:shd w:val="clear" w:color="auto" w:fill="auto"/>
            <w:vAlign w:val="center"/>
          </w:tcPr>
          <w:p w14:paraId="471BE8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18.29</w:t>
            </w:r>
          </w:p>
        </w:tc>
        <w:tc>
          <w:tcPr>
            <w:tcW w:w="718" w:type="dxa"/>
            <w:tcBorders>
              <w:top w:val="nil"/>
              <w:left w:val="nil"/>
              <w:bottom w:val="single" w:color="000000" w:sz="4" w:space="0"/>
              <w:right w:val="single" w:color="000000" w:sz="4" w:space="0"/>
            </w:tcBorders>
            <w:shd w:val="clear" w:color="FFFFFF" w:fill="C0C0C0"/>
            <w:vAlign w:val="center"/>
          </w:tcPr>
          <w:p w14:paraId="3713F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30214</w:t>
            </w:r>
          </w:p>
        </w:tc>
        <w:tc>
          <w:tcPr>
            <w:tcW w:w="1746" w:type="dxa"/>
            <w:tcBorders>
              <w:top w:val="nil"/>
              <w:left w:val="nil"/>
              <w:bottom w:val="single" w:color="000000" w:sz="4" w:space="0"/>
              <w:right w:val="single" w:color="000000" w:sz="4" w:space="0"/>
            </w:tcBorders>
            <w:shd w:val="clear" w:color="FFFFFF" w:fill="C0C0C0"/>
            <w:vAlign w:val="center"/>
          </w:tcPr>
          <w:p w14:paraId="59147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租赁费</w:t>
            </w:r>
          </w:p>
        </w:tc>
        <w:tc>
          <w:tcPr>
            <w:tcW w:w="886" w:type="dxa"/>
            <w:tcBorders>
              <w:top w:val="nil"/>
              <w:left w:val="nil"/>
              <w:bottom w:val="single" w:color="000000" w:sz="4" w:space="0"/>
              <w:right w:val="single" w:color="000000" w:sz="4" w:space="0"/>
            </w:tcBorders>
            <w:shd w:val="clear" w:color="auto" w:fill="auto"/>
            <w:vAlign w:val="center"/>
          </w:tcPr>
          <w:p w14:paraId="2D9C38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0.74</w:t>
            </w:r>
          </w:p>
        </w:tc>
        <w:tc>
          <w:tcPr>
            <w:tcW w:w="718" w:type="dxa"/>
            <w:tcBorders>
              <w:top w:val="nil"/>
              <w:left w:val="nil"/>
              <w:bottom w:val="single" w:color="000000" w:sz="4" w:space="0"/>
              <w:right w:val="single" w:color="000000" w:sz="4" w:space="0"/>
            </w:tcBorders>
            <w:shd w:val="clear" w:color="FFFFFF" w:fill="C0C0C0"/>
            <w:vAlign w:val="center"/>
          </w:tcPr>
          <w:p w14:paraId="193B3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31011</w:t>
            </w:r>
          </w:p>
        </w:tc>
        <w:tc>
          <w:tcPr>
            <w:tcW w:w="2165" w:type="dxa"/>
            <w:tcBorders>
              <w:top w:val="nil"/>
              <w:left w:val="nil"/>
              <w:bottom w:val="single" w:color="000000" w:sz="4" w:space="0"/>
              <w:right w:val="single" w:color="000000" w:sz="4" w:space="0"/>
            </w:tcBorders>
            <w:shd w:val="clear" w:color="FFFFFF" w:fill="C0C0C0"/>
            <w:vAlign w:val="center"/>
          </w:tcPr>
          <w:p w14:paraId="11E2A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地上附着物和青苗补偿</w:t>
            </w:r>
          </w:p>
        </w:tc>
        <w:tc>
          <w:tcPr>
            <w:tcW w:w="756" w:type="dxa"/>
            <w:tcBorders>
              <w:top w:val="nil"/>
              <w:left w:val="nil"/>
              <w:bottom w:val="single" w:color="000000" w:sz="4" w:space="0"/>
              <w:right w:val="single" w:color="000000" w:sz="4" w:space="0"/>
            </w:tcBorders>
            <w:shd w:val="clear" w:color="auto" w:fill="auto"/>
            <w:vAlign w:val="center"/>
          </w:tcPr>
          <w:p w14:paraId="7CF8F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9B3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20726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2293" w:type="dxa"/>
            <w:tcBorders>
              <w:top w:val="nil"/>
              <w:left w:val="nil"/>
              <w:bottom w:val="single" w:color="000000" w:sz="4" w:space="0"/>
              <w:right w:val="single" w:color="000000" w:sz="4" w:space="0"/>
            </w:tcBorders>
            <w:shd w:val="clear" w:color="FFFFFF" w:fill="C0C0C0"/>
            <w:vAlign w:val="center"/>
          </w:tcPr>
          <w:p w14:paraId="57DB3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839" w:type="dxa"/>
            <w:tcBorders>
              <w:top w:val="nil"/>
              <w:left w:val="nil"/>
              <w:bottom w:val="single" w:color="000000" w:sz="4" w:space="0"/>
              <w:right w:val="single" w:color="000000" w:sz="4" w:space="0"/>
            </w:tcBorders>
            <w:shd w:val="clear" w:color="auto" w:fill="auto"/>
            <w:vAlign w:val="center"/>
          </w:tcPr>
          <w:p w14:paraId="78052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7.87</w:t>
            </w:r>
          </w:p>
        </w:tc>
        <w:tc>
          <w:tcPr>
            <w:tcW w:w="718" w:type="dxa"/>
            <w:tcBorders>
              <w:top w:val="nil"/>
              <w:left w:val="nil"/>
              <w:bottom w:val="single" w:color="000000" w:sz="4" w:space="0"/>
              <w:right w:val="single" w:color="000000" w:sz="4" w:space="0"/>
            </w:tcBorders>
            <w:shd w:val="clear" w:color="FFFFFF" w:fill="C0C0C0"/>
            <w:vAlign w:val="center"/>
          </w:tcPr>
          <w:p w14:paraId="6B161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30215</w:t>
            </w:r>
          </w:p>
        </w:tc>
        <w:tc>
          <w:tcPr>
            <w:tcW w:w="1746" w:type="dxa"/>
            <w:tcBorders>
              <w:top w:val="nil"/>
              <w:left w:val="nil"/>
              <w:bottom w:val="single" w:color="000000" w:sz="4" w:space="0"/>
              <w:right w:val="single" w:color="000000" w:sz="4" w:space="0"/>
            </w:tcBorders>
            <w:shd w:val="clear" w:color="FFFFFF" w:fill="C0C0C0"/>
            <w:vAlign w:val="center"/>
          </w:tcPr>
          <w:p w14:paraId="3A72C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会议费</w:t>
            </w:r>
          </w:p>
        </w:tc>
        <w:tc>
          <w:tcPr>
            <w:tcW w:w="886" w:type="dxa"/>
            <w:tcBorders>
              <w:top w:val="nil"/>
              <w:left w:val="nil"/>
              <w:bottom w:val="single" w:color="000000" w:sz="4" w:space="0"/>
              <w:right w:val="single" w:color="000000" w:sz="4" w:space="0"/>
            </w:tcBorders>
            <w:shd w:val="clear" w:color="auto" w:fill="auto"/>
            <w:vAlign w:val="center"/>
          </w:tcPr>
          <w:p w14:paraId="07E60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4B6D1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31012</w:t>
            </w:r>
          </w:p>
        </w:tc>
        <w:tc>
          <w:tcPr>
            <w:tcW w:w="2165" w:type="dxa"/>
            <w:tcBorders>
              <w:top w:val="nil"/>
              <w:left w:val="nil"/>
              <w:bottom w:val="single" w:color="000000" w:sz="4" w:space="0"/>
              <w:right w:val="single" w:color="000000" w:sz="4" w:space="0"/>
            </w:tcBorders>
            <w:shd w:val="clear" w:color="FFFFFF" w:fill="C0C0C0"/>
            <w:vAlign w:val="center"/>
          </w:tcPr>
          <w:p w14:paraId="64E82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拆迁补偿</w:t>
            </w:r>
          </w:p>
        </w:tc>
        <w:tc>
          <w:tcPr>
            <w:tcW w:w="756" w:type="dxa"/>
            <w:tcBorders>
              <w:top w:val="nil"/>
              <w:left w:val="nil"/>
              <w:bottom w:val="single" w:color="000000" w:sz="4" w:space="0"/>
              <w:right w:val="single" w:color="000000" w:sz="4" w:space="0"/>
            </w:tcBorders>
            <w:shd w:val="clear" w:color="auto" w:fill="auto"/>
            <w:vAlign w:val="center"/>
          </w:tcPr>
          <w:p w14:paraId="5FCEDD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D59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6470E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30301</w:t>
            </w:r>
          </w:p>
        </w:tc>
        <w:tc>
          <w:tcPr>
            <w:tcW w:w="2293" w:type="dxa"/>
            <w:tcBorders>
              <w:top w:val="nil"/>
              <w:left w:val="nil"/>
              <w:bottom w:val="single" w:color="000000" w:sz="4" w:space="0"/>
              <w:right w:val="single" w:color="000000" w:sz="4" w:space="0"/>
            </w:tcBorders>
            <w:shd w:val="clear" w:color="FFFFFF" w:fill="C0C0C0"/>
            <w:vAlign w:val="center"/>
          </w:tcPr>
          <w:p w14:paraId="0D351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离休费</w:t>
            </w:r>
          </w:p>
        </w:tc>
        <w:tc>
          <w:tcPr>
            <w:tcW w:w="839" w:type="dxa"/>
            <w:tcBorders>
              <w:top w:val="nil"/>
              <w:left w:val="nil"/>
              <w:bottom w:val="single" w:color="000000" w:sz="4" w:space="0"/>
              <w:right w:val="single" w:color="000000" w:sz="4" w:space="0"/>
            </w:tcBorders>
            <w:shd w:val="clear" w:color="auto" w:fill="auto"/>
            <w:vAlign w:val="center"/>
          </w:tcPr>
          <w:p w14:paraId="2117ED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6C038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30216</w:t>
            </w:r>
          </w:p>
        </w:tc>
        <w:tc>
          <w:tcPr>
            <w:tcW w:w="1746" w:type="dxa"/>
            <w:tcBorders>
              <w:top w:val="nil"/>
              <w:left w:val="nil"/>
              <w:bottom w:val="single" w:color="000000" w:sz="4" w:space="0"/>
              <w:right w:val="single" w:color="000000" w:sz="4" w:space="0"/>
            </w:tcBorders>
            <w:shd w:val="clear" w:color="FFFFFF" w:fill="C0C0C0"/>
            <w:vAlign w:val="center"/>
          </w:tcPr>
          <w:p w14:paraId="60170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培训费</w:t>
            </w:r>
          </w:p>
        </w:tc>
        <w:tc>
          <w:tcPr>
            <w:tcW w:w="886" w:type="dxa"/>
            <w:tcBorders>
              <w:top w:val="nil"/>
              <w:left w:val="nil"/>
              <w:bottom w:val="single" w:color="000000" w:sz="4" w:space="0"/>
              <w:right w:val="single" w:color="000000" w:sz="4" w:space="0"/>
            </w:tcBorders>
            <w:shd w:val="clear" w:color="auto" w:fill="auto"/>
            <w:vAlign w:val="center"/>
          </w:tcPr>
          <w:p w14:paraId="35C6C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5A138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31013</w:t>
            </w:r>
          </w:p>
        </w:tc>
        <w:tc>
          <w:tcPr>
            <w:tcW w:w="2165" w:type="dxa"/>
            <w:tcBorders>
              <w:top w:val="nil"/>
              <w:left w:val="nil"/>
              <w:bottom w:val="single" w:color="000000" w:sz="4" w:space="0"/>
              <w:right w:val="single" w:color="000000" w:sz="4" w:space="0"/>
            </w:tcBorders>
            <w:shd w:val="clear" w:color="FFFFFF" w:fill="C0C0C0"/>
            <w:vAlign w:val="center"/>
          </w:tcPr>
          <w:p w14:paraId="7FD11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公务用车购置</w:t>
            </w:r>
          </w:p>
        </w:tc>
        <w:tc>
          <w:tcPr>
            <w:tcW w:w="756" w:type="dxa"/>
            <w:tcBorders>
              <w:top w:val="nil"/>
              <w:left w:val="nil"/>
              <w:bottom w:val="single" w:color="000000" w:sz="4" w:space="0"/>
              <w:right w:val="single" w:color="000000" w:sz="4" w:space="0"/>
            </w:tcBorders>
            <w:shd w:val="clear" w:color="auto" w:fill="auto"/>
            <w:vAlign w:val="center"/>
          </w:tcPr>
          <w:p w14:paraId="534F25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E01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28923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30302</w:t>
            </w:r>
          </w:p>
        </w:tc>
        <w:tc>
          <w:tcPr>
            <w:tcW w:w="2293" w:type="dxa"/>
            <w:tcBorders>
              <w:top w:val="nil"/>
              <w:left w:val="nil"/>
              <w:bottom w:val="single" w:color="000000" w:sz="4" w:space="0"/>
              <w:right w:val="single" w:color="000000" w:sz="4" w:space="0"/>
            </w:tcBorders>
            <w:shd w:val="clear" w:color="FFFFFF" w:fill="C0C0C0"/>
            <w:vAlign w:val="center"/>
          </w:tcPr>
          <w:p w14:paraId="67D25B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退休费</w:t>
            </w:r>
          </w:p>
        </w:tc>
        <w:tc>
          <w:tcPr>
            <w:tcW w:w="839" w:type="dxa"/>
            <w:tcBorders>
              <w:top w:val="nil"/>
              <w:left w:val="nil"/>
              <w:bottom w:val="single" w:color="000000" w:sz="4" w:space="0"/>
              <w:right w:val="single" w:color="000000" w:sz="4" w:space="0"/>
            </w:tcBorders>
            <w:shd w:val="clear" w:color="auto" w:fill="auto"/>
            <w:vAlign w:val="center"/>
          </w:tcPr>
          <w:p w14:paraId="096EC3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7.87</w:t>
            </w:r>
          </w:p>
        </w:tc>
        <w:tc>
          <w:tcPr>
            <w:tcW w:w="718" w:type="dxa"/>
            <w:tcBorders>
              <w:top w:val="nil"/>
              <w:left w:val="nil"/>
              <w:bottom w:val="single" w:color="000000" w:sz="4" w:space="0"/>
              <w:right w:val="single" w:color="000000" w:sz="4" w:space="0"/>
            </w:tcBorders>
            <w:shd w:val="clear" w:color="FFFFFF" w:fill="C0C0C0"/>
            <w:vAlign w:val="center"/>
          </w:tcPr>
          <w:p w14:paraId="3AB71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1746" w:type="dxa"/>
            <w:tcBorders>
              <w:top w:val="nil"/>
              <w:left w:val="nil"/>
              <w:bottom w:val="single" w:color="000000" w:sz="4" w:space="0"/>
              <w:right w:val="single" w:color="000000" w:sz="4" w:space="0"/>
            </w:tcBorders>
            <w:shd w:val="clear" w:color="FFFFFF" w:fill="C0C0C0"/>
            <w:vAlign w:val="center"/>
          </w:tcPr>
          <w:p w14:paraId="6824F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公务接待费</w:t>
            </w:r>
          </w:p>
        </w:tc>
        <w:tc>
          <w:tcPr>
            <w:tcW w:w="886" w:type="dxa"/>
            <w:tcBorders>
              <w:top w:val="nil"/>
              <w:left w:val="nil"/>
              <w:bottom w:val="single" w:color="000000" w:sz="4" w:space="0"/>
              <w:right w:val="single" w:color="000000" w:sz="4" w:space="0"/>
            </w:tcBorders>
            <w:shd w:val="clear" w:color="auto" w:fill="auto"/>
            <w:vAlign w:val="center"/>
          </w:tcPr>
          <w:p w14:paraId="17198F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203F9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31019</w:t>
            </w:r>
          </w:p>
        </w:tc>
        <w:tc>
          <w:tcPr>
            <w:tcW w:w="2165" w:type="dxa"/>
            <w:tcBorders>
              <w:top w:val="nil"/>
              <w:left w:val="nil"/>
              <w:bottom w:val="single" w:color="000000" w:sz="4" w:space="0"/>
              <w:right w:val="single" w:color="000000" w:sz="4" w:space="0"/>
            </w:tcBorders>
            <w:shd w:val="clear" w:color="FFFFFF" w:fill="C0C0C0"/>
            <w:vAlign w:val="center"/>
          </w:tcPr>
          <w:p w14:paraId="527C6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其他交通工具购置</w:t>
            </w:r>
          </w:p>
        </w:tc>
        <w:tc>
          <w:tcPr>
            <w:tcW w:w="756" w:type="dxa"/>
            <w:tcBorders>
              <w:top w:val="nil"/>
              <w:left w:val="nil"/>
              <w:bottom w:val="single" w:color="000000" w:sz="4" w:space="0"/>
              <w:right w:val="single" w:color="000000" w:sz="4" w:space="0"/>
            </w:tcBorders>
            <w:shd w:val="clear" w:color="auto" w:fill="auto"/>
            <w:vAlign w:val="center"/>
          </w:tcPr>
          <w:p w14:paraId="6CB7BF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3D8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05948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30303</w:t>
            </w:r>
          </w:p>
        </w:tc>
        <w:tc>
          <w:tcPr>
            <w:tcW w:w="2293" w:type="dxa"/>
            <w:tcBorders>
              <w:top w:val="nil"/>
              <w:left w:val="nil"/>
              <w:bottom w:val="single" w:color="000000" w:sz="4" w:space="0"/>
              <w:right w:val="single" w:color="000000" w:sz="4" w:space="0"/>
            </w:tcBorders>
            <w:shd w:val="clear" w:color="FFFFFF" w:fill="C0C0C0"/>
            <w:vAlign w:val="center"/>
          </w:tcPr>
          <w:p w14:paraId="32648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退职（役）费</w:t>
            </w:r>
          </w:p>
        </w:tc>
        <w:tc>
          <w:tcPr>
            <w:tcW w:w="839" w:type="dxa"/>
            <w:tcBorders>
              <w:top w:val="nil"/>
              <w:left w:val="nil"/>
              <w:bottom w:val="single" w:color="000000" w:sz="4" w:space="0"/>
              <w:right w:val="single" w:color="000000" w:sz="4" w:space="0"/>
            </w:tcBorders>
            <w:shd w:val="clear" w:color="auto" w:fill="auto"/>
            <w:vAlign w:val="center"/>
          </w:tcPr>
          <w:p w14:paraId="3A286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3E96B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30218</w:t>
            </w:r>
          </w:p>
        </w:tc>
        <w:tc>
          <w:tcPr>
            <w:tcW w:w="1746" w:type="dxa"/>
            <w:tcBorders>
              <w:top w:val="nil"/>
              <w:left w:val="nil"/>
              <w:bottom w:val="single" w:color="000000" w:sz="4" w:space="0"/>
              <w:right w:val="single" w:color="000000" w:sz="4" w:space="0"/>
            </w:tcBorders>
            <w:shd w:val="clear" w:color="FFFFFF" w:fill="C0C0C0"/>
            <w:vAlign w:val="center"/>
          </w:tcPr>
          <w:p w14:paraId="0460E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专用材料费</w:t>
            </w:r>
          </w:p>
        </w:tc>
        <w:tc>
          <w:tcPr>
            <w:tcW w:w="886" w:type="dxa"/>
            <w:tcBorders>
              <w:top w:val="nil"/>
              <w:left w:val="nil"/>
              <w:bottom w:val="single" w:color="000000" w:sz="4" w:space="0"/>
              <w:right w:val="single" w:color="000000" w:sz="4" w:space="0"/>
            </w:tcBorders>
            <w:shd w:val="clear" w:color="auto" w:fill="auto"/>
            <w:vAlign w:val="center"/>
          </w:tcPr>
          <w:p w14:paraId="0AAC81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6AAD3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31021</w:t>
            </w:r>
          </w:p>
        </w:tc>
        <w:tc>
          <w:tcPr>
            <w:tcW w:w="2165" w:type="dxa"/>
            <w:tcBorders>
              <w:top w:val="nil"/>
              <w:left w:val="nil"/>
              <w:bottom w:val="single" w:color="000000" w:sz="4" w:space="0"/>
              <w:right w:val="single" w:color="000000" w:sz="4" w:space="0"/>
            </w:tcBorders>
            <w:shd w:val="clear" w:color="FFFFFF" w:fill="C0C0C0"/>
            <w:vAlign w:val="center"/>
          </w:tcPr>
          <w:p w14:paraId="61BF9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文物和陈列品购置</w:t>
            </w:r>
          </w:p>
        </w:tc>
        <w:tc>
          <w:tcPr>
            <w:tcW w:w="756" w:type="dxa"/>
            <w:tcBorders>
              <w:top w:val="nil"/>
              <w:left w:val="nil"/>
              <w:bottom w:val="single" w:color="000000" w:sz="4" w:space="0"/>
              <w:right w:val="single" w:color="000000" w:sz="4" w:space="0"/>
            </w:tcBorders>
            <w:shd w:val="clear" w:color="auto" w:fill="auto"/>
            <w:vAlign w:val="center"/>
          </w:tcPr>
          <w:p w14:paraId="1D6518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D67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134D0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30304</w:t>
            </w:r>
          </w:p>
        </w:tc>
        <w:tc>
          <w:tcPr>
            <w:tcW w:w="2293" w:type="dxa"/>
            <w:tcBorders>
              <w:top w:val="nil"/>
              <w:left w:val="nil"/>
              <w:bottom w:val="single" w:color="000000" w:sz="4" w:space="0"/>
              <w:right w:val="single" w:color="000000" w:sz="4" w:space="0"/>
            </w:tcBorders>
            <w:shd w:val="clear" w:color="FFFFFF" w:fill="C0C0C0"/>
            <w:vAlign w:val="center"/>
          </w:tcPr>
          <w:p w14:paraId="52646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抚恤金</w:t>
            </w:r>
          </w:p>
        </w:tc>
        <w:tc>
          <w:tcPr>
            <w:tcW w:w="839" w:type="dxa"/>
            <w:tcBorders>
              <w:top w:val="nil"/>
              <w:left w:val="nil"/>
              <w:bottom w:val="single" w:color="000000" w:sz="4" w:space="0"/>
              <w:right w:val="single" w:color="000000" w:sz="4" w:space="0"/>
            </w:tcBorders>
            <w:shd w:val="clear" w:color="auto" w:fill="auto"/>
            <w:vAlign w:val="center"/>
          </w:tcPr>
          <w:p w14:paraId="2796B7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52B8D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30224</w:t>
            </w:r>
          </w:p>
        </w:tc>
        <w:tc>
          <w:tcPr>
            <w:tcW w:w="1746" w:type="dxa"/>
            <w:tcBorders>
              <w:top w:val="nil"/>
              <w:left w:val="nil"/>
              <w:bottom w:val="single" w:color="000000" w:sz="4" w:space="0"/>
              <w:right w:val="single" w:color="000000" w:sz="4" w:space="0"/>
            </w:tcBorders>
            <w:shd w:val="clear" w:color="FFFFFF" w:fill="C0C0C0"/>
            <w:vAlign w:val="center"/>
          </w:tcPr>
          <w:p w14:paraId="4197B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被装购置费</w:t>
            </w:r>
          </w:p>
        </w:tc>
        <w:tc>
          <w:tcPr>
            <w:tcW w:w="886" w:type="dxa"/>
            <w:tcBorders>
              <w:top w:val="nil"/>
              <w:left w:val="nil"/>
              <w:bottom w:val="single" w:color="000000" w:sz="4" w:space="0"/>
              <w:right w:val="single" w:color="000000" w:sz="4" w:space="0"/>
            </w:tcBorders>
            <w:shd w:val="clear" w:color="auto" w:fill="auto"/>
            <w:vAlign w:val="center"/>
          </w:tcPr>
          <w:p w14:paraId="5282FA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69D0F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31022</w:t>
            </w:r>
          </w:p>
        </w:tc>
        <w:tc>
          <w:tcPr>
            <w:tcW w:w="2165" w:type="dxa"/>
            <w:tcBorders>
              <w:top w:val="nil"/>
              <w:left w:val="nil"/>
              <w:bottom w:val="single" w:color="000000" w:sz="4" w:space="0"/>
              <w:right w:val="single" w:color="000000" w:sz="4" w:space="0"/>
            </w:tcBorders>
            <w:shd w:val="clear" w:color="FFFFFF" w:fill="C0C0C0"/>
            <w:vAlign w:val="center"/>
          </w:tcPr>
          <w:p w14:paraId="12BD1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无形资产购置</w:t>
            </w:r>
          </w:p>
        </w:tc>
        <w:tc>
          <w:tcPr>
            <w:tcW w:w="756" w:type="dxa"/>
            <w:tcBorders>
              <w:top w:val="nil"/>
              <w:left w:val="nil"/>
              <w:bottom w:val="single" w:color="000000" w:sz="4" w:space="0"/>
              <w:right w:val="single" w:color="000000" w:sz="4" w:space="0"/>
            </w:tcBorders>
            <w:shd w:val="clear" w:color="auto" w:fill="auto"/>
            <w:vAlign w:val="center"/>
          </w:tcPr>
          <w:p w14:paraId="64EEDD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204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16E58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2293" w:type="dxa"/>
            <w:tcBorders>
              <w:top w:val="nil"/>
              <w:left w:val="nil"/>
              <w:bottom w:val="single" w:color="000000" w:sz="4" w:space="0"/>
              <w:right w:val="single" w:color="000000" w:sz="4" w:space="0"/>
            </w:tcBorders>
            <w:shd w:val="clear" w:color="FFFFFF" w:fill="C0C0C0"/>
            <w:vAlign w:val="center"/>
          </w:tcPr>
          <w:p w14:paraId="5E6B3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生活补助</w:t>
            </w:r>
          </w:p>
        </w:tc>
        <w:tc>
          <w:tcPr>
            <w:tcW w:w="839" w:type="dxa"/>
            <w:tcBorders>
              <w:top w:val="nil"/>
              <w:left w:val="nil"/>
              <w:bottom w:val="single" w:color="000000" w:sz="4" w:space="0"/>
              <w:right w:val="single" w:color="000000" w:sz="4" w:space="0"/>
            </w:tcBorders>
            <w:shd w:val="clear" w:color="auto" w:fill="auto"/>
            <w:vAlign w:val="center"/>
          </w:tcPr>
          <w:p w14:paraId="456A0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68781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30225</w:t>
            </w:r>
          </w:p>
        </w:tc>
        <w:tc>
          <w:tcPr>
            <w:tcW w:w="1746" w:type="dxa"/>
            <w:tcBorders>
              <w:top w:val="nil"/>
              <w:left w:val="nil"/>
              <w:bottom w:val="single" w:color="000000" w:sz="4" w:space="0"/>
              <w:right w:val="single" w:color="000000" w:sz="4" w:space="0"/>
            </w:tcBorders>
            <w:shd w:val="clear" w:color="FFFFFF" w:fill="C0C0C0"/>
            <w:vAlign w:val="center"/>
          </w:tcPr>
          <w:p w14:paraId="1D895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专用燃料费</w:t>
            </w:r>
          </w:p>
        </w:tc>
        <w:tc>
          <w:tcPr>
            <w:tcW w:w="886" w:type="dxa"/>
            <w:tcBorders>
              <w:top w:val="nil"/>
              <w:left w:val="nil"/>
              <w:bottom w:val="single" w:color="000000" w:sz="4" w:space="0"/>
              <w:right w:val="single" w:color="000000" w:sz="4" w:space="0"/>
            </w:tcBorders>
            <w:shd w:val="clear" w:color="auto" w:fill="auto"/>
            <w:vAlign w:val="center"/>
          </w:tcPr>
          <w:p w14:paraId="640855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646EF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31099</w:t>
            </w:r>
          </w:p>
        </w:tc>
        <w:tc>
          <w:tcPr>
            <w:tcW w:w="2165" w:type="dxa"/>
            <w:tcBorders>
              <w:top w:val="nil"/>
              <w:left w:val="nil"/>
              <w:bottom w:val="single" w:color="000000" w:sz="4" w:space="0"/>
              <w:right w:val="single" w:color="000000" w:sz="4" w:space="0"/>
            </w:tcBorders>
            <w:shd w:val="clear" w:color="FFFFFF" w:fill="C0C0C0"/>
            <w:vAlign w:val="center"/>
          </w:tcPr>
          <w:p w14:paraId="27770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其他资本性支出</w:t>
            </w:r>
          </w:p>
        </w:tc>
        <w:tc>
          <w:tcPr>
            <w:tcW w:w="756" w:type="dxa"/>
            <w:tcBorders>
              <w:top w:val="nil"/>
              <w:left w:val="nil"/>
              <w:bottom w:val="single" w:color="000000" w:sz="4" w:space="0"/>
              <w:right w:val="single" w:color="000000" w:sz="4" w:space="0"/>
            </w:tcBorders>
            <w:shd w:val="clear" w:color="auto" w:fill="auto"/>
            <w:vAlign w:val="center"/>
          </w:tcPr>
          <w:p w14:paraId="4ACE89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9D3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5FD9B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30306</w:t>
            </w:r>
          </w:p>
        </w:tc>
        <w:tc>
          <w:tcPr>
            <w:tcW w:w="2293" w:type="dxa"/>
            <w:tcBorders>
              <w:top w:val="nil"/>
              <w:left w:val="nil"/>
              <w:bottom w:val="single" w:color="000000" w:sz="4" w:space="0"/>
              <w:right w:val="single" w:color="000000" w:sz="4" w:space="0"/>
            </w:tcBorders>
            <w:shd w:val="clear" w:color="FFFFFF" w:fill="C0C0C0"/>
            <w:vAlign w:val="center"/>
          </w:tcPr>
          <w:p w14:paraId="63884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救济费</w:t>
            </w:r>
          </w:p>
        </w:tc>
        <w:tc>
          <w:tcPr>
            <w:tcW w:w="839" w:type="dxa"/>
            <w:tcBorders>
              <w:top w:val="nil"/>
              <w:left w:val="nil"/>
              <w:bottom w:val="single" w:color="000000" w:sz="4" w:space="0"/>
              <w:right w:val="single" w:color="000000" w:sz="4" w:space="0"/>
            </w:tcBorders>
            <w:shd w:val="clear" w:color="auto" w:fill="auto"/>
            <w:vAlign w:val="center"/>
          </w:tcPr>
          <w:p w14:paraId="7BE20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030D6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30226</w:t>
            </w:r>
          </w:p>
        </w:tc>
        <w:tc>
          <w:tcPr>
            <w:tcW w:w="1746" w:type="dxa"/>
            <w:tcBorders>
              <w:top w:val="nil"/>
              <w:left w:val="nil"/>
              <w:bottom w:val="single" w:color="000000" w:sz="4" w:space="0"/>
              <w:right w:val="single" w:color="000000" w:sz="4" w:space="0"/>
            </w:tcBorders>
            <w:shd w:val="clear" w:color="FFFFFF" w:fill="C0C0C0"/>
            <w:vAlign w:val="center"/>
          </w:tcPr>
          <w:p w14:paraId="2296F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劳务费</w:t>
            </w:r>
          </w:p>
        </w:tc>
        <w:tc>
          <w:tcPr>
            <w:tcW w:w="886" w:type="dxa"/>
            <w:tcBorders>
              <w:top w:val="nil"/>
              <w:left w:val="nil"/>
              <w:bottom w:val="single" w:color="000000" w:sz="4" w:space="0"/>
              <w:right w:val="single" w:color="000000" w:sz="4" w:space="0"/>
            </w:tcBorders>
            <w:shd w:val="clear" w:color="auto" w:fill="auto"/>
            <w:vAlign w:val="center"/>
          </w:tcPr>
          <w:p w14:paraId="2300C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7.94</w:t>
            </w:r>
          </w:p>
        </w:tc>
        <w:tc>
          <w:tcPr>
            <w:tcW w:w="718" w:type="dxa"/>
            <w:tcBorders>
              <w:top w:val="nil"/>
              <w:left w:val="nil"/>
              <w:bottom w:val="single" w:color="000000" w:sz="4" w:space="0"/>
              <w:right w:val="single" w:color="000000" w:sz="4" w:space="0"/>
            </w:tcBorders>
            <w:shd w:val="clear" w:color="FFFFFF" w:fill="C0C0C0"/>
            <w:vAlign w:val="center"/>
          </w:tcPr>
          <w:p w14:paraId="66FE0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399</w:t>
            </w:r>
          </w:p>
        </w:tc>
        <w:tc>
          <w:tcPr>
            <w:tcW w:w="2165" w:type="dxa"/>
            <w:tcBorders>
              <w:top w:val="nil"/>
              <w:left w:val="nil"/>
              <w:bottom w:val="single" w:color="000000" w:sz="4" w:space="0"/>
              <w:right w:val="single" w:color="000000" w:sz="4" w:space="0"/>
            </w:tcBorders>
            <w:shd w:val="clear" w:color="FFFFFF" w:fill="C0C0C0"/>
            <w:vAlign w:val="center"/>
          </w:tcPr>
          <w:p w14:paraId="19F0A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其他支出</w:t>
            </w:r>
          </w:p>
        </w:tc>
        <w:tc>
          <w:tcPr>
            <w:tcW w:w="756" w:type="dxa"/>
            <w:tcBorders>
              <w:top w:val="nil"/>
              <w:left w:val="nil"/>
              <w:bottom w:val="single" w:color="000000" w:sz="4" w:space="0"/>
              <w:right w:val="single" w:color="000000" w:sz="4" w:space="0"/>
            </w:tcBorders>
            <w:shd w:val="clear" w:color="auto" w:fill="auto"/>
            <w:vAlign w:val="center"/>
          </w:tcPr>
          <w:p w14:paraId="381972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C84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0F2D2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30307</w:t>
            </w:r>
          </w:p>
        </w:tc>
        <w:tc>
          <w:tcPr>
            <w:tcW w:w="2293" w:type="dxa"/>
            <w:tcBorders>
              <w:top w:val="nil"/>
              <w:left w:val="nil"/>
              <w:bottom w:val="single" w:color="000000" w:sz="4" w:space="0"/>
              <w:right w:val="single" w:color="000000" w:sz="4" w:space="0"/>
            </w:tcBorders>
            <w:shd w:val="clear" w:color="FFFFFF" w:fill="C0C0C0"/>
            <w:vAlign w:val="center"/>
          </w:tcPr>
          <w:p w14:paraId="1FB3C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医疗费补助</w:t>
            </w:r>
          </w:p>
        </w:tc>
        <w:tc>
          <w:tcPr>
            <w:tcW w:w="839" w:type="dxa"/>
            <w:tcBorders>
              <w:top w:val="nil"/>
              <w:left w:val="nil"/>
              <w:bottom w:val="single" w:color="000000" w:sz="4" w:space="0"/>
              <w:right w:val="single" w:color="000000" w:sz="4" w:space="0"/>
            </w:tcBorders>
            <w:shd w:val="clear" w:color="auto" w:fill="auto"/>
            <w:vAlign w:val="center"/>
          </w:tcPr>
          <w:p w14:paraId="43BF8F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3C54F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30227</w:t>
            </w:r>
          </w:p>
        </w:tc>
        <w:tc>
          <w:tcPr>
            <w:tcW w:w="1746" w:type="dxa"/>
            <w:tcBorders>
              <w:top w:val="nil"/>
              <w:left w:val="nil"/>
              <w:bottom w:val="single" w:color="000000" w:sz="4" w:space="0"/>
              <w:right w:val="single" w:color="000000" w:sz="4" w:space="0"/>
            </w:tcBorders>
            <w:shd w:val="clear" w:color="FFFFFF" w:fill="C0C0C0"/>
            <w:vAlign w:val="center"/>
          </w:tcPr>
          <w:p w14:paraId="6A27C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委托业务费</w:t>
            </w:r>
          </w:p>
        </w:tc>
        <w:tc>
          <w:tcPr>
            <w:tcW w:w="886" w:type="dxa"/>
            <w:tcBorders>
              <w:top w:val="nil"/>
              <w:left w:val="nil"/>
              <w:bottom w:val="single" w:color="000000" w:sz="4" w:space="0"/>
              <w:right w:val="single" w:color="000000" w:sz="4" w:space="0"/>
            </w:tcBorders>
            <w:shd w:val="clear" w:color="auto" w:fill="auto"/>
            <w:vAlign w:val="center"/>
          </w:tcPr>
          <w:p w14:paraId="17E33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718" w:type="dxa"/>
            <w:tcBorders>
              <w:top w:val="nil"/>
              <w:left w:val="nil"/>
              <w:bottom w:val="single" w:color="000000" w:sz="4" w:space="0"/>
              <w:right w:val="single" w:color="000000" w:sz="4" w:space="0"/>
            </w:tcBorders>
            <w:shd w:val="clear" w:color="FFFFFF" w:fill="C0C0C0"/>
            <w:vAlign w:val="center"/>
          </w:tcPr>
          <w:p w14:paraId="132A6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39907</w:t>
            </w:r>
          </w:p>
        </w:tc>
        <w:tc>
          <w:tcPr>
            <w:tcW w:w="2165" w:type="dxa"/>
            <w:tcBorders>
              <w:top w:val="nil"/>
              <w:left w:val="nil"/>
              <w:bottom w:val="single" w:color="000000" w:sz="4" w:space="0"/>
              <w:right w:val="single" w:color="000000" w:sz="4" w:space="0"/>
            </w:tcBorders>
            <w:shd w:val="clear" w:color="FFFFFF" w:fill="C0C0C0"/>
            <w:vAlign w:val="center"/>
          </w:tcPr>
          <w:p w14:paraId="469905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国家赔偿费用支出</w:t>
            </w:r>
          </w:p>
        </w:tc>
        <w:tc>
          <w:tcPr>
            <w:tcW w:w="756" w:type="dxa"/>
            <w:tcBorders>
              <w:top w:val="nil"/>
              <w:left w:val="nil"/>
              <w:bottom w:val="single" w:color="000000" w:sz="4" w:space="0"/>
              <w:right w:val="single" w:color="000000" w:sz="4" w:space="0"/>
            </w:tcBorders>
            <w:shd w:val="clear" w:color="auto" w:fill="auto"/>
            <w:vAlign w:val="center"/>
          </w:tcPr>
          <w:p w14:paraId="6D742C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B65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3EDA6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30308</w:t>
            </w:r>
          </w:p>
        </w:tc>
        <w:tc>
          <w:tcPr>
            <w:tcW w:w="2293" w:type="dxa"/>
            <w:tcBorders>
              <w:top w:val="nil"/>
              <w:left w:val="nil"/>
              <w:bottom w:val="single" w:color="000000" w:sz="4" w:space="0"/>
              <w:right w:val="single" w:color="000000" w:sz="4" w:space="0"/>
            </w:tcBorders>
            <w:shd w:val="clear" w:color="FFFFFF" w:fill="C0C0C0"/>
            <w:vAlign w:val="center"/>
          </w:tcPr>
          <w:p w14:paraId="00AF9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助学金</w:t>
            </w:r>
          </w:p>
        </w:tc>
        <w:tc>
          <w:tcPr>
            <w:tcW w:w="839" w:type="dxa"/>
            <w:tcBorders>
              <w:top w:val="nil"/>
              <w:left w:val="nil"/>
              <w:bottom w:val="single" w:color="000000" w:sz="4" w:space="0"/>
              <w:right w:val="single" w:color="000000" w:sz="4" w:space="0"/>
            </w:tcBorders>
            <w:shd w:val="clear" w:color="auto" w:fill="auto"/>
            <w:vAlign w:val="center"/>
          </w:tcPr>
          <w:p w14:paraId="2C6845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26F70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1746" w:type="dxa"/>
            <w:tcBorders>
              <w:top w:val="nil"/>
              <w:left w:val="nil"/>
              <w:bottom w:val="single" w:color="000000" w:sz="4" w:space="0"/>
              <w:right w:val="single" w:color="000000" w:sz="4" w:space="0"/>
            </w:tcBorders>
            <w:shd w:val="clear" w:color="FFFFFF" w:fill="C0C0C0"/>
            <w:vAlign w:val="center"/>
          </w:tcPr>
          <w:p w14:paraId="67204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工会经费</w:t>
            </w:r>
          </w:p>
        </w:tc>
        <w:tc>
          <w:tcPr>
            <w:tcW w:w="886" w:type="dxa"/>
            <w:tcBorders>
              <w:top w:val="nil"/>
              <w:left w:val="nil"/>
              <w:bottom w:val="single" w:color="000000" w:sz="4" w:space="0"/>
              <w:right w:val="single" w:color="000000" w:sz="4" w:space="0"/>
            </w:tcBorders>
            <w:shd w:val="clear" w:color="auto" w:fill="auto"/>
            <w:vAlign w:val="center"/>
          </w:tcPr>
          <w:p w14:paraId="0548B9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0.89</w:t>
            </w:r>
          </w:p>
        </w:tc>
        <w:tc>
          <w:tcPr>
            <w:tcW w:w="718" w:type="dxa"/>
            <w:tcBorders>
              <w:top w:val="nil"/>
              <w:left w:val="nil"/>
              <w:bottom w:val="single" w:color="000000" w:sz="4" w:space="0"/>
              <w:right w:val="single" w:color="000000" w:sz="4" w:space="0"/>
            </w:tcBorders>
            <w:shd w:val="clear" w:color="FFFFFF" w:fill="C0C0C0"/>
            <w:vAlign w:val="center"/>
          </w:tcPr>
          <w:p w14:paraId="63D82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39908</w:t>
            </w:r>
          </w:p>
        </w:tc>
        <w:tc>
          <w:tcPr>
            <w:tcW w:w="2165" w:type="dxa"/>
            <w:tcBorders>
              <w:top w:val="nil"/>
              <w:left w:val="nil"/>
              <w:bottom w:val="single" w:color="000000" w:sz="4" w:space="0"/>
              <w:right w:val="single" w:color="000000" w:sz="4" w:space="0"/>
            </w:tcBorders>
            <w:shd w:val="clear" w:color="FFFFFF" w:fill="C0C0C0"/>
            <w:vAlign w:val="center"/>
          </w:tcPr>
          <w:p w14:paraId="4905D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对民间非营利组织和群众性自治组织补贴</w:t>
            </w:r>
          </w:p>
        </w:tc>
        <w:tc>
          <w:tcPr>
            <w:tcW w:w="756" w:type="dxa"/>
            <w:tcBorders>
              <w:top w:val="nil"/>
              <w:left w:val="nil"/>
              <w:bottom w:val="single" w:color="000000" w:sz="4" w:space="0"/>
              <w:right w:val="single" w:color="000000" w:sz="4" w:space="0"/>
            </w:tcBorders>
            <w:shd w:val="clear" w:color="auto" w:fill="auto"/>
            <w:vAlign w:val="center"/>
          </w:tcPr>
          <w:p w14:paraId="2B49D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C2A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01396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30309</w:t>
            </w:r>
          </w:p>
        </w:tc>
        <w:tc>
          <w:tcPr>
            <w:tcW w:w="2293" w:type="dxa"/>
            <w:tcBorders>
              <w:top w:val="nil"/>
              <w:left w:val="nil"/>
              <w:bottom w:val="single" w:color="000000" w:sz="4" w:space="0"/>
              <w:right w:val="single" w:color="000000" w:sz="4" w:space="0"/>
            </w:tcBorders>
            <w:shd w:val="clear" w:color="FFFFFF" w:fill="C0C0C0"/>
            <w:vAlign w:val="center"/>
          </w:tcPr>
          <w:p w14:paraId="1DDC6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奖励金</w:t>
            </w:r>
          </w:p>
        </w:tc>
        <w:tc>
          <w:tcPr>
            <w:tcW w:w="839" w:type="dxa"/>
            <w:tcBorders>
              <w:top w:val="nil"/>
              <w:left w:val="nil"/>
              <w:bottom w:val="single" w:color="000000" w:sz="4" w:space="0"/>
              <w:right w:val="single" w:color="000000" w:sz="4" w:space="0"/>
            </w:tcBorders>
            <w:shd w:val="clear" w:color="auto" w:fill="auto"/>
            <w:vAlign w:val="center"/>
          </w:tcPr>
          <w:p w14:paraId="7F1E7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1BBA4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30229</w:t>
            </w:r>
          </w:p>
        </w:tc>
        <w:tc>
          <w:tcPr>
            <w:tcW w:w="1746" w:type="dxa"/>
            <w:tcBorders>
              <w:top w:val="nil"/>
              <w:left w:val="nil"/>
              <w:bottom w:val="single" w:color="000000" w:sz="4" w:space="0"/>
              <w:right w:val="single" w:color="000000" w:sz="4" w:space="0"/>
            </w:tcBorders>
            <w:shd w:val="clear" w:color="FFFFFF" w:fill="C0C0C0"/>
            <w:vAlign w:val="center"/>
          </w:tcPr>
          <w:p w14:paraId="25BA0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福利费</w:t>
            </w:r>
          </w:p>
        </w:tc>
        <w:tc>
          <w:tcPr>
            <w:tcW w:w="886" w:type="dxa"/>
            <w:tcBorders>
              <w:top w:val="nil"/>
              <w:left w:val="nil"/>
              <w:bottom w:val="single" w:color="000000" w:sz="4" w:space="0"/>
              <w:right w:val="single" w:color="000000" w:sz="4" w:space="0"/>
            </w:tcBorders>
            <w:shd w:val="clear" w:color="auto" w:fill="auto"/>
            <w:vAlign w:val="center"/>
          </w:tcPr>
          <w:p w14:paraId="245C7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1486B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39909</w:t>
            </w:r>
          </w:p>
        </w:tc>
        <w:tc>
          <w:tcPr>
            <w:tcW w:w="2165" w:type="dxa"/>
            <w:tcBorders>
              <w:top w:val="nil"/>
              <w:left w:val="nil"/>
              <w:bottom w:val="single" w:color="000000" w:sz="4" w:space="0"/>
              <w:right w:val="single" w:color="000000" w:sz="4" w:space="0"/>
            </w:tcBorders>
            <w:shd w:val="clear" w:color="FFFFFF" w:fill="C0C0C0"/>
            <w:vAlign w:val="center"/>
          </w:tcPr>
          <w:p w14:paraId="27650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经常性赠与</w:t>
            </w:r>
          </w:p>
        </w:tc>
        <w:tc>
          <w:tcPr>
            <w:tcW w:w="756" w:type="dxa"/>
            <w:tcBorders>
              <w:top w:val="nil"/>
              <w:left w:val="nil"/>
              <w:bottom w:val="single" w:color="000000" w:sz="4" w:space="0"/>
              <w:right w:val="single" w:color="000000" w:sz="4" w:space="0"/>
            </w:tcBorders>
            <w:shd w:val="clear" w:color="auto" w:fill="auto"/>
            <w:vAlign w:val="center"/>
          </w:tcPr>
          <w:p w14:paraId="3A3C08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FD2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22741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30310</w:t>
            </w:r>
          </w:p>
        </w:tc>
        <w:tc>
          <w:tcPr>
            <w:tcW w:w="2293" w:type="dxa"/>
            <w:tcBorders>
              <w:top w:val="nil"/>
              <w:left w:val="nil"/>
              <w:bottom w:val="single" w:color="000000" w:sz="4" w:space="0"/>
              <w:right w:val="single" w:color="000000" w:sz="4" w:space="0"/>
            </w:tcBorders>
            <w:shd w:val="clear" w:color="FFFFFF" w:fill="C0C0C0"/>
            <w:vAlign w:val="center"/>
          </w:tcPr>
          <w:p w14:paraId="6AC43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个人农业生产补贴</w:t>
            </w:r>
          </w:p>
        </w:tc>
        <w:tc>
          <w:tcPr>
            <w:tcW w:w="839" w:type="dxa"/>
            <w:tcBorders>
              <w:top w:val="nil"/>
              <w:left w:val="nil"/>
              <w:bottom w:val="single" w:color="000000" w:sz="4" w:space="0"/>
              <w:right w:val="single" w:color="000000" w:sz="4" w:space="0"/>
            </w:tcBorders>
            <w:shd w:val="clear" w:color="auto" w:fill="auto"/>
            <w:vAlign w:val="center"/>
          </w:tcPr>
          <w:p w14:paraId="3D754E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4262F4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30231</w:t>
            </w:r>
          </w:p>
        </w:tc>
        <w:tc>
          <w:tcPr>
            <w:tcW w:w="1746" w:type="dxa"/>
            <w:tcBorders>
              <w:top w:val="nil"/>
              <w:left w:val="nil"/>
              <w:bottom w:val="single" w:color="000000" w:sz="4" w:space="0"/>
              <w:right w:val="single" w:color="000000" w:sz="4" w:space="0"/>
            </w:tcBorders>
            <w:shd w:val="clear" w:color="FFFFFF" w:fill="C0C0C0"/>
            <w:vAlign w:val="center"/>
          </w:tcPr>
          <w:p w14:paraId="4B36D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公务用车运行维护费</w:t>
            </w:r>
          </w:p>
        </w:tc>
        <w:tc>
          <w:tcPr>
            <w:tcW w:w="886" w:type="dxa"/>
            <w:tcBorders>
              <w:top w:val="nil"/>
              <w:left w:val="nil"/>
              <w:bottom w:val="single" w:color="000000" w:sz="4" w:space="0"/>
              <w:right w:val="single" w:color="000000" w:sz="4" w:space="0"/>
            </w:tcBorders>
            <w:shd w:val="clear" w:color="auto" w:fill="auto"/>
            <w:vAlign w:val="center"/>
          </w:tcPr>
          <w:p w14:paraId="65BF56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0.28</w:t>
            </w:r>
          </w:p>
        </w:tc>
        <w:tc>
          <w:tcPr>
            <w:tcW w:w="718" w:type="dxa"/>
            <w:tcBorders>
              <w:top w:val="nil"/>
              <w:left w:val="nil"/>
              <w:bottom w:val="single" w:color="000000" w:sz="4" w:space="0"/>
              <w:right w:val="single" w:color="000000" w:sz="4" w:space="0"/>
            </w:tcBorders>
            <w:shd w:val="clear" w:color="FFFFFF" w:fill="C0C0C0"/>
            <w:vAlign w:val="center"/>
          </w:tcPr>
          <w:p w14:paraId="705B9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39910</w:t>
            </w:r>
          </w:p>
        </w:tc>
        <w:tc>
          <w:tcPr>
            <w:tcW w:w="2165" w:type="dxa"/>
            <w:tcBorders>
              <w:top w:val="nil"/>
              <w:left w:val="nil"/>
              <w:bottom w:val="single" w:color="000000" w:sz="4" w:space="0"/>
              <w:right w:val="single" w:color="000000" w:sz="4" w:space="0"/>
            </w:tcBorders>
            <w:shd w:val="clear" w:color="FFFFFF" w:fill="C0C0C0"/>
            <w:vAlign w:val="center"/>
          </w:tcPr>
          <w:p w14:paraId="7B493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资本性赠与</w:t>
            </w:r>
          </w:p>
        </w:tc>
        <w:tc>
          <w:tcPr>
            <w:tcW w:w="756" w:type="dxa"/>
            <w:tcBorders>
              <w:top w:val="nil"/>
              <w:left w:val="nil"/>
              <w:bottom w:val="single" w:color="000000" w:sz="4" w:space="0"/>
              <w:right w:val="single" w:color="000000" w:sz="4" w:space="0"/>
            </w:tcBorders>
            <w:shd w:val="clear" w:color="auto" w:fill="auto"/>
            <w:vAlign w:val="center"/>
          </w:tcPr>
          <w:p w14:paraId="5584E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36C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105CD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30311</w:t>
            </w:r>
          </w:p>
        </w:tc>
        <w:tc>
          <w:tcPr>
            <w:tcW w:w="2293" w:type="dxa"/>
            <w:tcBorders>
              <w:top w:val="nil"/>
              <w:left w:val="nil"/>
              <w:bottom w:val="single" w:color="000000" w:sz="4" w:space="0"/>
              <w:right w:val="single" w:color="000000" w:sz="4" w:space="0"/>
            </w:tcBorders>
            <w:shd w:val="clear" w:color="FFFFFF" w:fill="C0C0C0"/>
            <w:vAlign w:val="center"/>
          </w:tcPr>
          <w:p w14:paraId="7F591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代缴社会保险费</w:t>
            </w:r>
          </w:p>
        </w:tc>
        <w:tc>
          <w:tcPr>
            <w:tcW w:w="839" w:type="dxa"/>
            <w:tcBorders>
              <w:top w:val="nil"/>
              <w:left w:val="nil"/>
              <w:bottom w:val="single" w:color="000000" w:sz="4" w:space="0"/>
              <w:right w:val="single" w:color="000000" w:sz="4" w:space="0"/>
            </w:tcBorders>
            <w:shd w:val="clear" w:color="auto" w:fill="auto"/>
            <w:vAlign w:val="center"/>
          </w:tcPr>
          <w:p w14:paraId="1CD72E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297E5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1746" w:type="dxa"/>
            <w:tcBorders>
              <w:top w:val="nil"/>
              <w:left w:val="nil"/>
              <w:bottom w:val="single" w:color="000000" w:sz="4" w:space="0"/>
              <w:right w:val="single" w:color="000000" w:sz="4" w:space="0"/>
            </w:tcBorders>
            <w:shd w:val="clear" w:color="FFFFFF" w:fill="C0C0C0"/>
            <w:vAlign w:val="center"/>
          </w:tcPr>
          <w:p w14:paraId="150A0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其他交通费用</w:t>
            </w:r>
          </w:p>
        </w:tc>
        <w:tc>
          <w:tcPr>
            <w:tcW w:w="886" w:type="dxa"/>
            <w:tcBorders>
              <w:top w:val="nil"/>
              <w:left w:val="nil"/>
              <w:bottom w:val="single" w:color="000000" w:sz="4" w:space="0"/>
              <w:right w:val="single" w:color="000000" w:sz="4" w:space="0"/>
            </w:tcBorders>
            <w:shd w:val="clear" w:color="auto" w:fill="auto"/>
            <w:vAlign w:val="center"/>
          </w:tcPr>
          <w:p w14:paraId="027AB4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141D0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39999</w:t>
            </w:r>
          </w:p>
        </w:tc>
        <w:tc>
          <w:tcPr>
            <w:tcW w:w="2165" w:type="dxa"/>
            <w:tcBorders>
              <w:top w:val="nil"/>
              <w:left w:val="nil"/>
              <w:bottom w:val="single" w:color="000000" w:sz="4" w:space="0"/>
              <w:right w:val="single" w:color="000000" w:sz="4" w:space="0"/>
            </w:tcBorders>
            <w:shd w:val="clear" w:color="FFFFFF" w:fill="C0C0C0"/>
            <w:vAlign w:val="center"/>
          </w:tcPr>
          <w:p w14:paraId="156A8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其他支出</w:t>
            </w:r>
          </w:p>
        </w:tc>
        <w:tc>
          <w:tcPr>
            <w:tcW w:w="756" w:type="dxa"/>
            <w:tcBorders>
              <w:top w:val="nil"/>
              <w:left w:val="nil"/>
              <w:bottom w:val="single" w:color="000000" w:sz="4" w:space="0"/>
              <w:right w:val="single" w:color="000000" w:sz="4" w:space="0"/>
            </w:tcBorders>
            <w:shd w:val="clear" w:color="auto" w:fill="auto"/>
            <w:vAlign w:val="center"/>
          </w:tcPr>
          <w:p w14:paraId="1FC322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8CE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51275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30399</w:t>
            </w:r>
          </w:p>
        </w:tc>
        <w:tc>
          <w:tcPr>
            <w:tcW w:w="2293" w:type="dxa"/>
            <w:tcBorders>
              <w:top w:val="nil"/>
              <w:left w:val="nil"/>
              <w:bottom w:val="single" w:color="000000" w:sz="4" w:space="0"/>
              <w:right w:val="single" w:color="000000" w:sz="4" w:space="0"/>
            </w:tcBorders>
            <w:shd w:val="clear" w:color="FFFFFF" w:fill="C0C0C0"/>
            <w:vAlign w:val="center"/>
          </w:tcPr>
          <w:p w14:paraId="1910B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其他对个人和家庭的补助</w:t>
            </w:r>
          </w:p>
        </w:tc>
        <w:tc>
          <w:tcPr>
            <w:tcW w:w="839" w:type="dxa"/>
            <w:tcBorders>
              <w:top w:val="nil"/>
              <w:left w:val="nil"/>
              <w:bottom w:val="single" w:color="000000" w:sz="4" w:space="0"/>
              <w:right w:val="single" w:color="000000" w:sz="4" w:space="0"/>
            </w:tcBorders>
            <w:shd w:val="clear" w:color="auto" w:fill="auto"/>
            <w:vAlign w:val="center"/>
          </w:tcPr>
          <w:p w14:paraId="3999FF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5D9B6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30240</w:t>
            </w:r>
          </w:p>
        </w:tc>
        <w:tc>
          <w:tcPr>
            <w:tcW w:w="1746" w:type="dxa"/>
            <w:tcBorders>
              <w:top w:val="nil"/>
              <w:left w:val="nil"/>
              <w:bottom w:val="single" w:color="000000" w:sz="4" w:space="0"/>
              <w:right w:val="single" w:color="000000" w:sz="4" w:space="0"/>
            </w:tcBorders>
            <w:shd w:val="clear" w:color="FFFFFF" w:fill="C0C0C0"/>
            <w:vAlign w:val="center"/>
          </w:tcPr>
          <w:p w14:paraId="48B1F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税金及附加费用</w:t>
            </w:r>
          </w:p>
        </w:tc>
        <w:tc>
          <w:tcPr>
            <w:tcW w:w="886" w:type="dxa"/>
            <w:tcBorders>
              <w:top w:val="nil"/>
              <w:left w:val="nil"/>
              <w:bottom w:val="single" w:color="000000" w:sz="4" w:space="0"/>
              <w:right w:val="single" w:color="000000" w:sz="4" w:space="0"/>
            </w:tcBorders>
            <w:shd w:val="clear" w:color="auto" w:fill="auto"/>
            <w:vAlign w:val="center"/>
          </w:tcPr>
          <w:p w14:paraId="0C24B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718" w:type="dxa"/>
            <w:tcBorders>
              <w:top w:val="nil"/>
              <w:left w:val="nil"/>
              <w:bottom w:val="single" w:color="000000" w:sz="4" w:space="0"/>
              <w:right w:val="single" w:color="000000" w:sz="4" w:space="0"/>
            </w:tcBorders>
            <w:shd w:val="clear" w:color="FFFFFF" w:fill="C0C0C0"/>
            <w:vAlign w:val="center"/>
          </w:tcPr>
          <w:p w14:paraId="2432DD07">
            <w:pPr>
              <w:jc w:val="left"/>
              <w:rPr>
                <w:rFonts w:hint="eastAsia" w:ascii="宋体" w:hAnsi="宋体" w:eastAsia="宋体" w:cs="宋体"/>
                <w:i w:val="0"/>
                <w:iCs w:val="0"/>
                <w:color w:val="000000"/>
                <w:sz w:val="18"/>
                <w:szCs w:val="18"/>
                <w:u w:val="none"/>
              </w:rPr>
            </w:pPr>
          </w:p>
        </w:tc>
        <w:tc>
          <w:tcPr>
            <w:tcW w:w="2165" w:type="dxa"/>
            <w:tcBorders>
              <w:top w:val="nil"/>
              <w:left w:val="nil"/>
              <w:bottom w:val="single" w:color="000000" w:sz="4" w:space="0"/>
              <w:right w:val="single" w:color="000000" w:sz="4" w:space="0"/>
            </w:tcBorders>
            <w:shd w:val="clear" w:color="FFFFFF" w:fill="C0C0C0"/>
            <w:vAlign w:val="center"/>
          </w:tcPr>
          <w:p w14:paraId="1C642539">
            <w:pPr>
              <w:jc w:val="left"/>
              <w:rPr>
                <w:rFonts w:hint="eastAsia" w:ascii="宋体" w:hAnsi="宋体" w:eastAsia="宋体" w:cs="宋体"/>
                <w:i w:val="0"/>
                <w:iCs w:val="0"/>
                <w:color w:val="000000"/>
                <w:sz w:val="18"/>
                <w:szCs w:val="18"/>
                <w:u w:val="none"/>
              </w:rPr>
            </w:pPr>
          </w:p>
        </w:tc>
        <w:tc>
          <w:tcPr>
            <w:tcW w:w="756" w:type="dxa"/>
            <w:tcBorders>
              <w:top w:val="nil"/>
              <w:left w:val="nil"/>
              <w:bottom w:val="single" w:color="000000" w:sz="4" w:space="0"/>
              <w:right w:val="single" w:color="000000" w:sz="4" w:space="0"/>
            </w:tcBorders>
            <w:shd w:val="clear" w:color="auto" w:fill="auto"/>
            <w:vAlign w:val="center"/>
          </w:tcPr>
          <w:p w14:paraId="5567CC70">
            <w:pPr>
              <w:jc w:val="right"/>
              <w:rPr>
                <w:rFonts w:hint="eastAsia" w:ascii="宋体" w:hAnsi="宋体" w:eastAsia="宋体" w:cs="宋体"/>
                <w:i w:val="0"/>
                <w:iCs w:val="0"/>
                <w:color w:val="000000"/>
                <w:sz w:val="18"/>
                <w:szCs w:val="18"/>
                <w:u w:val="none"/>
              </w:rPr>
            </w:pPr>
          </w:p>
        </w:tc>
      </w:tr>
      <w:tr w14:paraId="139B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18" w:type="dxa"/>
            <w:tcBorders>
              <w:top w:val="nil"/>
              <w:left w:val="single" w:color="000000" w:sz="4" w:space="0"/>
              <w:bottom w:val="single" w:color="000000" w:sz="4" w:space="0"/>
              <w:right w:val="single" w:color="000000" w:sz="4" w:space="0"/>
            </w:tcBorders>
            <w:shd w:val="clear" w:color="FFFFFF" w:fill="C0C0C0"/>
            <w:vAlign w:val="center"/>
          </w:tcPr>
          <w:p w14:paraId="09C7062B">
            <w:pPr>
              <w:jc w:val="left"/>
              <w:rPr>
                <w:rFonts w:hint="eastAsia" w:ascii="宋体" w:hAnsi="宋体" w:eastAsia="宋体" w:cs="宋体"/>
                <w:i w:val="0"/>
                <w:iCs w:val="0"/>
                <w:color w:val="000000"/>
                <w:sz w:val="18"/>
                <w:szCs w:val="18"/>
                <w:u w:val="none"/>
              </w:rPr>
            </w:pPr>
          </w:p>
        </w:tc>
        <w:tc>
          <w:tcPr>
            <w:tcW w:w="2293" w:type="dxa"/>
            <w:tcBorders>
              <w:top w:val="nil"/>
              <w:left w:val="nil"/>
              <w:bottom w:val="single" w:color="000000" w:sz="4" w:space="0"/>
              <w:right w:val="single" w:color="000000" w:sz="4" w:space="0"/>
            </w:tcBorders>
            <w:shd w:val="clear" w:color="FFFFFF" w:fill="C0C0C0"/>
            <w:vAlign w:val="center"/>
          </w:tcPr>
          <w:p w14:paraId="4FDF17FA">
            <w:pPr>
              <w:jc w:val="left"/>
              <w:rPr>
                <w:rFonts w:hint="eastAsia" w:ascii="宋体" w:hAnsi="宋体" w:eastAsia="宋体" w:cs="宋体"/>
                <w:i w:val="0"/>
                <w:iCs w:val="0"/>
                <w:color w:val="000000"/>
                <w:sz w:val="18"/>
                <w:szCs w:val="18"/>
                <w:u w:val="none"/>
              </w:rPr>
            </w:pPr>
          </w:p>
        </w:tc>
        <w:tc>
          <w:tcPr>
            <w:tcW w:w="839" w:type="dxa"/>
            <w:tcBorders>
              <w:top w:val="nil"/>
              <w:left w:val="nil"/>
              <w:bottom w:val="single" w:color="000000" w:sz="4" w:space="0"/>
              <w:right w:val="single" w:color="000000" w:sz="4" w:space="0"/>
            </w:tcBorders>
            <w:shd w:val="clear" w:color="auto" w:fill="auto"/>
            <w:vAlign w:val="center"/>
          </w:tcPr>
          <w:p w14:paraId="7944477E">
            <w:pPr>
              <w:jc w:val="right"/>
              <w:rPr>
                <w:rFonts w:hint="eastAsia" w:ascii="宋体" w:hAnsi="宋体" w:eastAsia="宋体" w:cs="宋体"/>
                <w:i w:val="0"/>
                <w:iCs w:val="0"/>
                <w:color w:val="000000"/>
                <w:sz w:val="18"/>
                <w:szCs w:val="18"/>
                <w:u w:val="none"/>
              </w:rPr>
            </w:pPr>
          </w:p>
        </w:tc>
        <w:tc>
          <w:tcPr>
            <w:tcW w:w="718" w:type="dxa"/>
            <w:tcBorders>
              <w:top w:val="nil"/>
              <w:left w:val="nil"/>
              <w:bottom w:val="single" w:color="000000" w:sz="4" w:space="0"/>
              <w:right w:val="single" w:color="000000" w:sz="4" w:space="0"/>
            </w:tcBorders>
            <w:shd w:val="clear" w:color="FFFFFF" w:fill="C0C0C0"/>
            <w:vAlign w:val="center"/>
          </w:tcPr>
          <w:p w14:paraId="3458A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1746" w:type="dxa"/>
            <w:tcBorders>
              <w:top w:val="nil"/>
              <w:left w:val="nil"/>
              <w:bottom w:val="single" w:color="000000" w:sz="4" w:space="0"/>
              <w:right w:val="single" w:color="000000" w:sz="4" w:space="0"/>
            </w:tcBorders>
            <w:shd w:val="clear" w:color="FFFFFF" w:fill="C0C0C0"/>
            <w:vAlign w:val="center"/>
          </w:tcPr>
          <w:p w14:paraId="46E80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其他商品和服务支出</w:t>
            </w:r>
          </w:p>
        </w:tc>
        <w:tc>
          <w:tcPr>
            <w:tcW w:w="886" w:type="dxa"/>
            <w:tcBorders>
              <w:top w:val="nil"/>
              <w:left w:val="nil"/>
              <w:bottom w:val="single" w:color="000000" w:sz="4" w:space="0"/>
              <w:right w:val="single" w:color="000000" w:sz="4" w:space="0"/>
            </w:tcBorders>
            <w:shd w:val="clear" w:color="auto" w:fill="auto"/>
            <w:vAlign w:val="center"/>
          </w:tcPr>
          <w:p w14:paraId="35952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9.27</w:t>
            </w:r>
          </w:p>
        </w:tc>
        <w:tc>
          <w:tcPr>
            <w:tcW w:w="718" w:type="dxa"/>
            <w:tcBorders>
              <w:top w:val="nil"/>
              <w:left w:val="nil"/>
              <w:bottom w:val="single" w:color="000000" w:sz="4" w:space="0"/>
              <w:right w:val="single" w:color="000000" w:sz="4" w:space="0"/>
            </w:tcBorders>
            <w:shd w:val="clear" w:color="FFFFFF" w:fill="C0C0C0"/>
            <w:vAlign w:val="center"/>
          </w:tcPr>
          <w:p w14:paraId="1C5DD6BE">
            <w:pPr>
              <w:jc w:val="left"/>
              <w:rPr>
                <w:rFonts w:hint="eastAsia" w:ascii="宋体" w:hAnsi="宋体" w:eastAsia="宋体" w:cs="宋体"/>
                <w:i w:val="0"/>
                <w:iCs w:val="0"/>
                <w:color w:val="000000"/>
                <w:sz w:val="18"/>
                <w:szCs w:val="18"/>
                <w:u w:val="none"/>
              </w:rPr>
            </w:pPr>
          </w:p>
        </w:tc>
        <w:tc>
          <w:tcPr>
            <w:tcW w:w="2165" w:type="dxa"/>
            <w:tcBorders>
              <w:top w:val="nil"/>
              <w:left w:val="nil"/>
              <w:bottom w:val="single" w:color="000000" w:sz="4" w:space="0"/>
              <w:right w:val="single" w:color="000000" w:sz="4" w:space="0"/>
            </w:tcBorders>
            <w:shd w:val="clear" w:color="FFFFFF" w:fill="C0C0C0"/>
            <w:vAlign w:val="center"/>
          </w:tcPr>
          <w:p w14:paraId="65AE640F">
            <w:pPr>
              <w:jc w:val="left"/>
              <w:rPr>
                <w:rFonts w:hint="eastAsia" w:ascii="宋体" w:hAnsi="宋体" w:eastAsia="宋体" w:cs="宋体"/>
                <w:i w:val="0"/>
                <w:iCs w:val="0"/>
                <w:color w:val="000000"/>
                <w:sz w:val="18"/>
                <w:szCs w:val="18"/>
                <w:u w:val="none"/>
              </w:rPr>
            </w:pPr>
          </w:p>
        </w:tc>
        <w:tc>
          <w:tcPr>
            <w:tcW w:w="756" w:type="dxa"/>
            <w:tcBorders>
              <w:top w:val="nil"/>
              <w:left w:val="nil"/>
              <w:bottom w:val="single" w:color="000000" w:sz="4" w:space="0"/>
              <w:right w:val="single" w:color="000000" w:sz="4" w:space="0"/>
            </w:tcBorders>
            <w:shd w:val="clear" w:color="auto" w:fill="auto"/>
            <w:vAlign w:val="center"/>
          </w:tcPr>
          <w:p w14:paraId="774E0E44">
            <w:pPr>
              <w:jc w:val="right"/>
              <w:rPr>
                <w:rFonts w:hint="eastAsia" w:ascii="宋体" w:hAnsi="宋体" w:eastAsia="宋体" w:cs="宋体"/>
                <w:i w:val="0"/>
                <w:iCs w:val="0"/>
                <w:color w:val="000000"/>
                <w:sz w:val="18"/>
                <w:szCs w:val="18"/>
                <w:u w:val="none"/>
              </w:rPr>
            </w:pPr>
          </w:p>
        </w:tc>
      </w:tr>
      <w:tr w14:paraId="4DCF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3011" w:type="dxa"/>
            <w:gridSpan w:val="2"/>
            <w:tcBorders>
              <w:top w:val="nil"/>
              <w:left w:val="single" w:color="000000" w:sz="4" w:space="0"/>
              <w:bottom w:val="single" w:color="000000" w:sz="4" w:space="0"/>
              <w:right w:val="single" w:color="000000" w:sz="4" w:space="0"/>
            </w:tcBorders>
            <w:shd w:val="clear" w:color="FFFFFF" w:fill="C0C0C0"/>
            <w:vAlign w:val="center"/>
          </w:tcPr>
          <w:p w14:paraId="6F7F1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人员经费合计</w:t>
            </w:r>
          </w:p>
        </w:tc>
        <w:tc>
          <w:tcPr>
            <w:tcW w:w="839" w:type="dxa"/>
            <w:tcBorders>
              <w:top w:val="nil"/>
              <w:left w:val="nil"/>
              <w:bottom w:val="single" w:color="000000" w:sz="4" w:space="0"/>
              <w:right w:val="single" w:color="000000" w:sz="4" w:space="0"/>
            </w:tcBorders>
            <w:shd w:val="clear" w:color="auto" w:fill="auto"/>
            <w:vAlign w:val="center"/>
          </w:tcPr>
          <w:p w14:paraId="2D0082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374.72</w:t>
            </w:r>
          </w:p>
        </w:tc>
        <w:tc>
          <w:tcPr>
            <w:tcW w:w="6233" w:type="dxa"/>
            <w:gridSpan w:val="5"/>
            <w:tcBorders>
              <w:top w:val="nil"/>
              <w:left w:val="nil"/>
              <w:bottom w:val="single" w:color="000000" w:sz="4" w:space="0"/>
              <w:right w:val="single" w:color="000000" w:sz="4" w:space="0"/>
            </w:tcBorders>
            <w:shd w:val="clear" w:color="FFFFFF" w:fill="C0C0C0"/>
            <w:vAlign w:val="center"/>
          </w:tcPr>
          <w:p w14:paraId="7A661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公用经费合计</w:t>
            </w:r>
          </w:p>
        </w:tc>
        <w:tc>
          <w:tcPr>
            <w:tcW w:w="756" w:type="dxa"/>
            <w:tcBorders>
              <w:top w:val="nil"/>
              <w:left w:val="nil"/>
              <w:bottom w:val="single" w:color="000000" w:sz="4" w:space="0"/>
              <w:right w:val="single" w:color="000000" w:sz="4" w:space="0"/>
            </w:tcBorders>
            <w:shd w:val="clear" w:color="auto" w:fill="auto"/>
            <w:vAlign w:val="center"/>
          </w:tcPr>
          <w:p w14:paraId="4BD169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32.80</w:t>
            </w:r>
          </w:p>
        </w:tc>
      </w:tr>
    </w:tbl>
    <w:p w14:paraId="4AA59016">
      <w:pPr>
        <w:spacing w:before="47" w:line="219" w:lineRule="auto"/>
        <w:rPr>
          <w:rFonts w:ascii="宋体" w:hAnsi="宋体" w:eastAsia="宋体" w:cs="宋体"/>
          <w:color w:val="auto"/>
          <w:sz w:val="22"/>
          <w:szCs w:val="22"/>
        </w:rPr>
      </w:pPr>
    </w:p>
    <w:p w14:paraId="4CA2669C">
      <w:pPr>
        <w:spacing w:before="47" w:line="219" w:lineRule="auto"/>
        <w:ind w:left="121"/>
        <w:rPr>
          <w:rFonts w:ascii="宋体" w:hAnsi="宋体" w:eastAsia="宋体" w:cs="宋体"/>
          <w:color w:val="auto"/>
          <w:sz w:val="22"/>
          <w:szCs w:val="22"/>
        </w:rPr>
      </w:pPr>
      <w:r>
        <w:rPr>
          <w:rFonts w:ascii="宋体" w:hAnsi="宋体" w:eastAsia="宋体" w:cs="宋体"/>
          <w:color w:val="auto"/>
          <w:sz w:val="22"/>
          <w:szCs w:val="22"/>
        </w:rPr>
        <w:t>注：本表反映部门本年度一般公共预算财政拨款基</w:t>
      </w:r>
      <w:r>
        <w:rPr>
          <w:rFonts w:ascii="宋体" w:hAnsi="宋体" w:eastAsia="宋体" w:cs="宋体"/>
          <w:color w:val="auto"/>
          <w:spacing w:val="-1"/>
          <w:sz w:val="22"/>
          <w:szCs w:val="22"/>
        </w:rPr>
        <w:t>本支出明细情况。</w:t>
      </w:r>
    </w:p>
    <w:p w14:paraId="2CA6509E">
      <w:pPr>
        <w:spacing w:line="244" w:lineRule="auto"/>
        <w:rPr>
          <w:rFonts w:ascii="Arial"/>
          <w:color w:val="auto"/>
          <w:sz w:val="21"/>
        </w:rPr>
      </w:pPr>
    </w:p>
    <w:p w14:paraId="108DEDD7">
      <w:pPr>
        <w:spacing w:line="245" w:lineRule="auto"/>
        <w:rPr>
          <w:rFonts w:ascii="Arial"/>
          <w:color w:val="auto"/>
          <w:sz w:val="21"/>
        </w:rPr>
      </w:pPr>
    </w:p>
    <w:p w14:paraId="7678571F">
      <w:pPr>
        <w:pStyle w:val="2"/>
        <w:spacing w:before="101" w:line="227" w:lineRule="auto"/>
        <w:ind w:left="671"/>
        <w:outlineLvl w:val="0"/>
        <w:rPr>
          <w:color w:val="auto"/>
        </w:rPr>
      </w:pPr>
      <w:r>
        <w:rPr>
          <w:color w:val="auto"/>
          <w:spacing w:val="9"/>
        </w:rPr>
        <w:t>七、政府性基金预算财政拨款收入支出决算表</w:t>
      </w:r>
    </w:p>
    <w:p w14:paraId="580A8231">
      <w:pPr>
        <w:spacing w:before="148" w:line="219" w:lineRule="auto"/>
        <w:ind w:left="2845"/>
        <w:outlineLvl w:val="1"/>
        <w:rPr>
          <w:rFonts w:ascii="宋体" w:hAnsi="宋体" w:eastAsia="宋体" w:cs="宋体"/>
          <w:color w:val="auto"/>
          <w:sz w:val="30"/>
          <w:szCs w:val="30"/>
        </w:rPr>
      </w:pPr>
      <w:r>
        <w:rPr>
          <w:rFonts w:ascii="宋体" w:hAnsi="宋体" w:eastAsia="宋体" w:cs="宋体"/>
          <w:color w:val="auto"/>
          <w:spacing w:val="-1"/>
          <w:sz w:val="30"/>
          <w:szCs w:val="30"/>
        </w:rPr>
        <w:t>政府性基金预算财政拨款收入支出决算表</w:t>
      </w:r>
    </w:p>
    <w:p w14:paraId="7DE280D0">
      <w:pPr>
        <w:spacing w:before="163" w:line="230" w:lineRule="auto"/>
        <w:ind w:left="9458" w:leftChars="4504" w:firstLine="0" w:firstLineChars="0"/>
        <w:jc w:val="left"/>
        <w:rPr>
          <w:rFonts w:ascii="宋体" w:hAnsi="宋体" w:eastAsia="宋体" w:cs="宋体"/>
          <w:color w:val="auto"/>
          <w:sz w:val="19"/>
          <w:szCs w:val="19"/>
        </w:rPr>
      </w:pPr>
      <w:r>
        <w:rPr>
          <w:rFonts w:ascii="宋体" w:hAnsi="宋体" w:eastAsia="宋体" w:cs="宋体"/>
          <w:color w:val="auto"/>
          <w:spacing w:val="1"/>
          <w:sz w:val="19"/>
          <w:szCs w:val="19"/>
        </w:rPr>
        <w:t>公开</w:t>
      </w:r>
      <w:r>
        <w:rPr>
          <w:rFonts w:ascii="宋体" w:hAnsi="宋体" w:eastAsia="宋体" w:cs="宋体"/>
          <w:color w:val="auto"/>
          <w:spacing w:val="-32"/>
          <w:sz w:val="19"/>
          <w:szCs w:val="19"/>
        </w:rPr>
        <w:t xml:space="preserve"> </w:t>
      </w:r>
      <w:r>
        <w:rPr>
          <w:rFonts w:ascii="宋体" w:hAnsi="宋体" w:eastAsia="宋体" w:cs="宋体"/>
          <w:color w:val="auto"/>
          <w:spacing w:val="1"/>
          <w:sz w:val="19"/>
          <w:szCs w:val="19"/>
        </w:rPr>
        <w:t>07</w:t>
      </w:r>
      <w:r>
        <w:rPr>
          <w:rFonts w:ascii="宋体" w:hAnsi="宋体" w:eastAsia="宋体" w:cs="宋体"/>
          <w:color w:val="auto"/>
          <w:spacing w:val="-39"/>
          <w:sz w:val="19"/>
          <w:szCs w:val="19"/>
        </w:rPr>
        <w:t xml:space="preserve"> </w:t>
      </w:r>
      <w:r>
        <w:rPr>
          <w:rFonts w:ascii="宋体" w:hAnsi="宋体" w:eastAsia="宋体" w:cs="宋体"/>
          <w:color w:val="auto"/>
          <w:spacing w:val="1"/>
          <w:sz w:val="19"/>
          <w:szCs w:val="19"/>
        </w:rPr>
        <w:t>表</w:t>
      </w:r>
    </w:p>
    <w:p w14:paraId="66014AF3">
      <w:pPr>
        <w:spacing w:before="76" w:line="227" w:lineRule="auto"/>
        <w:rPr>
          <w:rFonts w:ascii="宋体" w:hAnsi="宋体" w:eastAsia="宋体" w:cs="宋体"/>
          <w:color w:val="auto"/>
          <w:sz w:val="19"/>
          <w:szCs w:val="19"/>
        </w:rPr>
      </w:pPr>
      <w:r>
        <w:rPr>
          <w:rFonts w:ascii="宋体" w:hAnsi="宋体" w:eastAsia="宋体" w:cs="宋体"/>
          <w:color w:val="auto"/>
          <w:spacing w:val="7"/>
          <w:sz w:val="19"/>
          <w:szCs w:val="19"/>
        </w:rPr>
        <w:t xml:space="preserve">部门：鄂州市自然资源和规划局鄂城分局                                                     </w:t>
      </w:r>
      <w:r>
        <w:rPr>
          <w:rFonts w:ascii="宋体" w:hAnsi="宋体" w:eastAsia="宋体" w:cs="宋体"/>
          <w:color w:val="auto"/>
          <w:spacing w:val="6"/>
          <w:sz w:val="19"/>
          <w:szCs w:val="19"/>
        </w:rPr>
        <w:t xml:space="preserve">     金额单位：万元</w:t>
      </w:r>
    </w:p>
    <w:tbl>
      <w:tblPr>
        <w:tblStyle w:val="7"/>
        <w:tblpPr w:leftFromText="180" w:rightFromText="180" w:vertAnchor="text" w:horzAnchor="page" w:tblpX="469" w:tblpY="10"/>
        <w:tblOverlap w:val="never"/>
        <w:tblW w:w="110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4"/>
        <w:gridCol w:w="1027"/>
        <w:gridCol w:w="939"/>
        <w:gridCol w:w="863"/>
        <w:gridCol w:w="826"/>
        <w:gridCol w:w="833"/>
        <w:gridCol w:w="848"/>
        <w:gridCol w:w="1614"/>
      </w:tblGrid>
      <w:tr w14:paraId="22A62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41" w:type="dxa"/>
            <w:gridSpan w:val="2"/>
            <w:shd w:val="clear" w:color="auto" w:fill="C0C0C0"/>
            <w:vAlign w:val="top"/>
          </w:tcPr>
          <w:p w14:paraId="224D3A17">
            <w:pPr>
              <w:pStyle w:val="8"/>
              <w:spacing w:before="51" w:line="218" w:lineRule="auto"/>
              <w:ind w:left="2361"/>
              <w:rPr>
                <w:color w:val="auto"/>
              </w:rPr>
            </w:pPr>
            <w:r>
              <w:rPr>
                <w:color w:val="auto"/>
                <w:spacing w:val="-6"/>
              </w:rPr>
              <w:t>项目</w:t>
            </w:r>
          </w:p>
        </w:tc>
        <w:tc>
          <w:tcPr>
            <w:tcW w:w="939" w:type="dxa"/>
            <w:vMerge w:val="restart"/>
            <w:tcBorders>
              <w:bottom w:val="nil"/>
            </w:tcBorders>
            <w:shd w:val="clear" w:color="auto" w:fill="C0C0C0"/>
            <w:vAlign w:val="top"/>
          </w:tcPr>
          <w:p w14:paraId="343CFDA1">
            <w:pPr>
              <w:pStyle w:val="8"/>
              <w:spacing w:before="221" w:line="220" w:lineRule="auto"/>
              <w:ind w:left="146"/>
              <w:rPr>
                <w:color w:val="auto"/>
              </w:rPr>
            </w:pPr>
            <w:r>
              <w:rPr>
                <w:color w:val="auto"/>
                <w:spacing w:val="-3"/>
              </w:rPr>
              <w:t>年初结</w:t>
            </w:r>
          </w:p>
          <w:p w14:paraId="68A3FE47">
            <w:pPr>
              <w:pStyle w:val="8"/>
              <w:spacing w:before="49" w:line="221" w:lineRule="auto"/>
              <w:ind w:left="146"/>
              <w:rPr>
                <w:color w:val="auto"/>
              </w:rPr>
            </w:pPr>
            <w:r>
              <w:rPr>
                <w:color w:val="auto"/>
                <w:spacing w:val="-3"/>
              </w:rPr>
              <w:t>转和结</w:t>
            </w:r>
          </w:p>
          <w:p w14:paraId="1BCE7918">
            <w:pPr>
              <w:pStyle w:val="8"/>
              <w:spacing w:before="48" w:line="221" w:lineRule="auto"/>
              <w:ind w:left="367"/>
              <w:rPr>
                <w:color w:val="auto"/>
              </w:rPr>
            </w:pPr>
            <w:r>
              <w:rPr>
                <w:color w:val="auto"/>
              </w:rPr>
              <w:t>余</w:t>
            </w:r>
          </w:p>
        </w:tc>
        <w:tc>
          <w:tcPr>
            <w:tcW w:w="863" w:type="dxa"/>
            <w:vMerge w:val="restart"/>
            <w:tcBorders>
              <w:bottom w:val="nil"/>
            </w:tcBorders>
            <w:shd w:val="clear" w:color="auto" w:fill="C0C0C0"/>
            <w:vAlign w:val="top"/>
          </w:tcPr>
          <w:p w14:paraId="28119D6E">
            <w:pPr>
              <w:spacing w:line="304" w:lineRule="auto"/>
              <w:rPr>
                <w:rFonts w:ascii="Arial"/>
                <w:color w:val="auto"/>
                <w:sz w:val="21"/>
              </w:rPr>
            </w:pPr>
          </w:p>
          <w:p w14:paraId="4D314FAC">
            <w:pPr>
              <w:pStyle w:val="8"/>
              <w:spacing w:before="72" w:line="248" w:lineRule="auto"/>
              <w:ind w:left="226" w:right="205" w:hanging="6"/>
              <w:rPr>
                <w:color w:val="auto"/>
              </w:rPr>
            </w:pPr>
            <w:r>
              <w:rPr>
                <w:color w:val="auto"/>
                <w:spacing w:val="-4"/>
              </w:rPr>
              <w:t>本年</w:t>
            </w:r>
            <w:r>
              <w:rPr>
                <w:color w:val="auto"/>
              </w:rPr>
              <w:t xml:space="preserve"> </w:t>
            </w:r>
            <w:r>
              <w:rPr>
                <w:color w:val="auto"/>
                <w:spacing w:val="-8"/>
              </w:rPr>
              <w:t>收入</w:t>
            </w:r>
          </w:p>
        </w:tc>
        <w:tc>
          <w:tcPr>
            <w:tcW w:w="2507" w:type="dxa"/>
            <w:gridSpan w:val="3"/>
            <w:shd w:val="clear" w:color="auto" w:fill="C0C0C0"/>
            <w:vAlign w:val="top"/>
          </w:tcPr>
          <w:p w14:paraId="5DBB7393">
            <w:pPr>
              <w:pStyle w:val="8"/>
              <w:spacing w:before="51" w:line="218" w:lineRule="auto"/>
              <w:ind w:left="821"/>
              <w:rPr>
                <w:color w:val="auto"/>
              </w:rPr>
            </w:pPr>
            <w:r>
              <w:rPr>
                <w:color w:val="auto"/>
                <w:spacing w:val="-3"/>
              </w:rPr>
              <w:t>本年支出</w:t>
            </w:r>
          </w:p>
        </w:tc>
        <w:tc>
          <w:tcPr>
            <w:tcW w:w="1614" w:type="dxa"/>
            <w:vMerge w:val="restart"/>
            <w:tcBorders>
              <w:bottom w:val="nil"/>
            </w:tcBorders>
            <w:shd w:val="clear" w:color="auto" w:fill="C0C0C0"/>
            <w:vAlign w:val="top"/>
          </w:tcPr>
          <w:p w14:paraId="20F6162B">
            <w:pPr>
              <w:spacing w:line="303" w:lineRule="auto"/>
              <w:rPr>
                <w:rFonts w:ascii="Arial"/>
                <w:color w:val="auto"/>
                <w:sz w:val="21"/>
              </w:rPr>
            </w:pPr>
          </w:p>
          <w:p w14:paraId="24415022">
            <w:pPr>
              <w:pStyle w:val="8"/>
              <w:spacing w:before="71" w:line="249" w:lineRule="auto"/>
              <w:ind w:left="703" w:right="143" w:hanging="549"/>
              <w:rPr>
                <w:color w:val="auto"/>
              </w:rPr>
            </w:pPr>
            <w:r>
              <w:rPr>
                <w:color w:val="auto"/>
                <w:spacing w:val="-2"/>
              </w:rPr>
              <w:t>年末结转和结</w:t>
            </w:r>
            <w:r>
              <w:rPr>
                <w:color w:val="auto"/>
                <w:spacing w:val="1"/>
              </w:rPr>
              <w:t xml:space="preserve"> </w:t>
            </w:r>
            <w:r>
              <w:rPr>
                <w:color w:val="auto"/>
              </w:rPr>
              <w:t>余</w:t>
            </w:r>
          </w:p>
        </w:tc>
      </w:tr>
      <w:tr w14:paraId="0963D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4114" w:type="dxa"/>
            <w:shd w:val="clear" w:color="auto" w:fill="C0C0C0"/>
            <w:vAlign w:val="top"/>
          </w:tcPr>
          <w:p w14:paraId="7A9961DC">
            <w:pPr>
              <w:spacing w:line="295" w:lineRule="auto"/>
              <w:rPr>
                <w:rFonts w:ascii="Arial"/>
                <w:color w:val="auto"/>
                <w:sz w:val="21"/>
              </w:rPr>
            </w:pPr>
          </w:p>
          <w:p w14:paraId="278E0230">
            <w:pPr>
              <w:pStyle w:val="8"/>
              <w:spacing w:before="71" w:line="219" w:lineRule="auto"/>
              <w:ind w:left="1624"/>
              <w:rPr>
                <w:color w:val="auto"/>
              </w:rPr>
            </w:pPr>
            <w:r>
              <w:rPr>
                <w:color w:val="auto"/>
                <w:spacing w:val="-2"/>
              </w:rPr>
              <w:t>科目代码</w:t>
            </w:r>
          </w:p>
        </w:tc>
        <w:tc>
          <w:tcPr>
            <w:tcW w:w="1027" w:type="dxa"/>
            <w:shd w:val="clear" w:color="auto" w:fill="C0C0C0"/>
            <w:vAlign w:val="top"/>
          </w:tcPr>
          <w:p w14:paraId="73D97D2A">
            <w:pPr>
              <w:pStyle w:val="8"/>
              <w:spacing w:before="213" w:line="249" w:lineRule="auto"/>
              <w:ind w:left="407" w:right="182" w:hanging="219"/>
              <w:rPr>
                <w:color w:val="auto"/>
              </w:rPr>
            </w:pPr>
            <w:r>
              <w:rPr>
                <w:color w:val="auto"/>
                <w:spacing w:val="-3"/>
              </w:rPr>
              <w:t>科目名</w:t>
            </w:r>
            <w:r>
              <w:rPr>
                <w:color w:val="auto"/>
              </w:rPr>
              <w:t xml:space="preserve"> 称</w:t>
            </w:r>
          </w:p>
        </w:tc>
        <w:tc>
          <w:tcPr>
            <w:tcW w:w="939" w:type="dxa"/>
            <w:vMerge w:val="continue"/>
            <w:tcBorders>
              <w:top w:val="nil"/>
            </w:tcBorders>
            <w:vAlign w:val="top"/>
          </w:tcPr>
          <w:p w14:paraId="19D8A4EB">
            <w:pPr>
              <w:rPr>
                <w:rFonts w:ascii="Arial"/>
                <w:color w:val="auto"/>
                <w:sz w:val="21"/>
              </w:rPr>
            </w:pPr>
          </w:p>
        </w:tc>
        <w:tc>
          <w:tcPr>
            <w:tcW w:w="863" w:type="dxa"/>
            <w:vMerge w:val="continue"/>
            <w:tcBorders>
              <w:top w:val="nil"/>
            </w:tcBorders>
            <w:vAlign w:val="top"/>
          </w:tcPr>
          <w:p w14:paraId="05625B3F">
            <w:pPr>
              <w:rPr>
                <w:rFonts w:ascii="Arial"/>
                <w:color w:val="auto"/>
                <w:sz w:val="21"/>
              </w:rPr>
            </w:pPr>
          </w:p>
        </w:tc>
        <w:tc>
          <w:tcPr>
            <w:tcW w:w="826" w:type="dxa"/>
            <w:shd w:val="clear" w:color="auto" w:fill="C0C0C0"/>
            <w:vAlign w:val="top"/>
          </w:tcPr>
          <w:p w14:paraId="0273AD45">
            <w:pPr>
              <w:spacing w:line="294" w:lineRule="auto"/>
              <w:rPr>
                <w:rFonts w:ascii="Arial"/>
                <w:color w:val="auto"/>
                <w:sz w:val="21"/>
              </w:rPr>
            </w:pPr>
          </w:p>
          <w:p w14:paraId="72A4CEBA">
            <w:pPr>
              <w:pStyle w:val="8"/>
              <w:spacing w:before="71" w:line="222" w:lineRule="auto"/>
              <w:ind w:left="206"/>
              <w:rPr>
                <w:color w:val="auto"/>
              </w:rPr>
            </w:pPr>
            <w:r>
              <w:rPr>
                <w:color w:val="auto"/>
                <w:spacing w:val="-7"/>
              </w:rPr>
              <w:t>小计</w:t>
            </w:r>
          </w:p>
        </w:tc>
        <w:tc>
          <w:tcPr>
            <w:tcW w:w="833" w:type="dxa"/>
            <w:shd w:val="clear" w:color="auto" w:fill="C0C0C0"/>
            <w:vAlign w:val="top"/>
          </w:tcPr>
          <w:p w14:paraId="1229A6DC">
            <w:pPr>
              <w:pStyle w:val="8"/>
              <w:spacing w:before="211" w:line="249" w:lineRule="auto"/>
              <w:ind w:left="205" w:right="189"/>
              <w:rPr>
                <w:color w:val="auto"/>
              </w:rPr>
            </w:pPr>
            <w:r>
              <w:rPr>
                <w:color w:val="auto"/>
                <w:spacing w:val="-4"/>
              </w:rPr>
              <w:t>基本</w:t>
            </w:r>
            <w:r>
              <w:rPr>
                <w:color w:val="auto"/>
              </w:rPr>
              <w:t xml:space="preserve"> </w:t>
            </w:r>
            <w:r>
              <w:rPr>
                <w:color w:val="auto"/>
                <w:spacing w:val="-4"/>
              </w:rPr>
              <w:t>支出</w:t>
            </w:r>
          </w:p>
        </w:tc>
        <w:tc>
          <w:tcPr>
            <w:tcW w:w="848" w:type="dxa"/>
            <w:shd w:val="clear" w:color="auto" w:fill="C0C0C0"/>
            <w:vAlign w:val="top"/>
          </w:tcPr>
          <w:p w14:paraId="6AF15E9C">
            <w:pPr>
              <w:pStyle w:val="8"/>
              <w:spacing w:before="211" w:line="249" w:lineRule="auto"/>
              <w:ind w:left="213" w:right="197" w:firstLine="2"/>
              <w:rPr>
                <w:color w:val="auto"/>
              </w:rPr>
            </w:pPr>
            <w:r>
              <w:rPr>
                <w:color w:val="auto"/>
                <w:spacing w:val="-6"/>
              </w:rPr>
              <w:t>项目</w:t>
            </w:r>
            <w:r>
              <w:rPr>
                <w:color w:val="auto"/>
              </w:rPr>
              <w:t xml:space="preserve"> </w:t>
            </w:r>
            <w:r>
              <w:rPr>
                <w:color w:val="auto"/>
                <w:spacing w:val="-4"/>
              </w:rPr>
              <w:t>支出</w:t>
            </w:r>
          </w:p>
        </w:tc>
        <w:tc>
          <w:tcPr>
            <w:tcW w:w="1614" w:type="dxa"/>
            <w:vMerge w:val="continue"/>
            <w:tcBorders>
              <w:top w:val="nil"/>
            </w:tcBorders>
            <w:vAlign w:val="top"/>
          </w:tcPr>
          <w:p w14:paraId="4418502C">
            <w:pPr>
              <w:rPr>
                <w:rFonts w:ascii="Arial"/>
                <w:color w:val="auto"/>
                <w:sz w:val="21"/>
              </w:rPr>
            </w:pPr>
          </w:p>
        </w:tc>
      </w:tr>
      <w:tr w14:paraId="03841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141" w:type="dxa"/>
            <w:gridSpan w:val="2"/>
            <w:shd w:val="clear" w:color="auto" w:fill="C0C0C0"/>
            <w:vAlign w:val="top"/>
          </w:tcPr>
          <w:p w14:paraId="2F83B99E">
            <w:pPr>
              <w:pStyle w:val="8"/>
              <w:spacing w:before="48" w:line="217" w:lineRule="auto"/>
              <w:ind w:left="2358"/>
              <w:rPr>
                <w:color w:val="auto"/>
              </w:rPr>
            </w:pPr>
            <w:r>
              <w:rPr>
                <w:color w:val="auto"/>
                <w:spacing w:val="-4"/>
              </w:rPr>
              <w:t>栏次</w:t>
            </w:r>
          </w:p>
        </w:tc>
        <w:tc>
          <w:tcPr>
            <w:tcW w:w="939" w:type="dxa"/>
            <w:shd w:val="clear" w:color="auto" w:fill="C0C0C0"/>
            <w:vAlign w:val="top"/>
          </w:tcPr>
          <w:p w14:paraId="09801308">
            <w:pPr>
              <w:pStyle w:val="8"/>
              <w:spacing w:before="82" w:line="184" w:lineRule="auto"/>
              <w:ind w:left="437"/>
              <w:rPr>
                <w:color w:val="auto"/>
              </w:rPr>
            </w:pPr>
            <w:r>
              <w:rPr>
                <w:color w:val="auto"/>
              </w:rPr>
              <w:t>1</w:t>
            </w:r>
          </w:p>
        </w:tc>
        <w:tc>
          <w:tcPr>
            <w:tcW w:w="863" w:type="dxa"/>
            <w:shd w:val="clear" w:color="auto" w:fill="C0C0C0"/>
            <w:vAlign w:val="top"/>
          </w:tcPr>
          <w:p w14:paraId="2ABC29D9">
            <w:pPr>
              <w:pStyle w:val="8"/>
              <w:spacing w:before="82" w:line="184" w:lineRule="auto"/>
              <w:ind w:left="387"/>
              <w:rPr>
                <w:color w:val="auto"/>
              </w:rPr>
            </w:pPr>
            <w:r>
              <w:rPr>
                <w:color w:val="auto"/>
              </w:rPr>
              <w:t>2</w:t>
            </w:r>
          </w:p>
        </w:tc>
        <w:tc>
          <w:tcPr>
            <w:tcW w:w="826" w:type="dxa"/>
            <w:shd w:val="clear" w:color="auto" w:fill="C0C0C0"/>
            <w:vAlign w:val="top"/>
          </w:tcPr>
          <w:p w14:paraId="188BDC0F">
            <w:pPr>
              <w:pStyle w:val="8"/>
              <w:spacing w:before="83" w:line="184" w:lineRule="auto"/>
              <w:ind w:left="371"/>
              <w:rPr>
                <w:color w:val="auto"/>
              </w:rPr>
            </w:pPr>
            <w:r>
              <w:rPr>
                <w:color w:val="auto"/>
              </w:rPr>
              <w:t>3</w:t>
            </w:r>
          </w:p>
        </w:tc>
        <w:tc>
          <w:tcPr>
            <w:tcW w:w="833" w:type="dxa"/>
            <w:shd w:val="clear" w:color="auto" w:fill="C0C0C0"/>
            <w:vAlign w:val="top"/>
          </w:tcPr>
          <w:p w14:paraId="6192D596">
            <w:pPr>
              <w:pStyle w:val="8"/>
              <w:spacing w:before="82" w:line="184" w:lineRule="auto"/>
              <w:ind w:left="367"/>
              <w:rPr>
                <w:color w:val="auto"/>
              </w:rPr>
            </w:pPr>
            <w:r>
              <w:rPr>
                <w:color w:val="auto"/>
              </w:rPr>
              <w:t>4</w:t>
            </w:r>
          </w:p>
        </w:tc>
        <w:tc>
          <w:tcPr>
            <w:tcW w:w="848" w:type="dxa"/>
            <w:shd w:val="clear" w:color="auto" w:fill="C0C0C0"/>
            <w:vAlign w:val="top"/>
          </w:tcPr>
          <w:p w14:paraId="310AB239">
            <w:pPr>
              <w:pStyle w:val="8"/>
              <w:spacing w:before="85" w:line="182" w:lineRule="auto"/>
              <w:ind w:left="382"/>
              <w:rPr>
                <w:color w:val="auto"/>
              </w:rPr>
            </w:pPr>
            <w:r>
              <w:rPr>
                <w:color w:val="auto"/>
              </w:rPr>
              <w:t>5</w:t>
            </w:r>
          </w:p>
        </w:tc>
        <w:tc>
          <w:tcPr>
            <w:tcW w:w="1614" w:type="dxa"/>
            <w:shd w:val="clear" w:color="auto" w:fill="C0C0C0"/>
            <w:vAlign w:val="top"/>
          </w:tcPr>
          <w:p w14:paraId="6976F775">
            <w:pPr>
              <w:pStyle w:val="8"/>
              <w:spacing w:before="83" w:line="184" w:lineRule="auto"/>
              <w:ind w:left="760"/>
              <w:rPr>
                <w:color w:val="auto"/>
              </w:rPr>
            </w:pPr>
            <w:r>
              <w:rPr>
                <w:color w:val="auto"/>
              </w:rPr>
              <w:t>6</w:t>
            </w:r>
          </w:p>
        </w:tc>
      </w:tr>
      <w:tr w14:paraId="2B7C4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141" w:type="dxa"/>
            <w:gridSpan w:val="2"/>
            <w:shd w:val="clear" w:color="auto" w:fill="C0C0C0"/>
            <w:vAlign w:val="top"/>
          </w:tcPr>
          <w:p w14:paraId="1F942471">
            <w:pPr>
              <w:pStyle w:val="8"/>
              <w:spacing w:before="48" w:line="216" w:lineRule="auto"/>
              <w:ind w:left="2359"/>
              <w:rPr>
                <w:color w:val="auto"/>
              </w:rPr>
            </w:pPr>
            <w:r>
              <w:rPr>
                <w:color w:val="auto"/>
                <w:spacing w:val="-4"/>
              </w:rPr>
              <w:t>合计</w:t>
            </w:r>
          </w:p>
        </w:tc>
        <w:tc>
          <w:tcPr>
            <w:tcW w:w="939" w:type="dxa"/>
            <w:vAlign w:val="top"/>
          </w:tcPr>
          <w:p w14:paraId="6F2F2AB5">
            <w:pPr>
              <w:rPr>
                <w:rFonts w:ascii="Arial"/>
                <w:color w:val="auto"/>
                <w:sz w:val="21"/>
              </w:rPr>
            </w:pPr>
          </w:p>
        </w:tc>
        <w:tc>
          <w:tcPr>
            <w:tcW w:w="863" w:type="dxa"/>
            <w:vAlign w:val="top"/>
          </w:tcPr>
          <w:p w14:paraId="2556D173">
            <w:pPr>
              <w:rPr>
                <w:rFonts w:ascii="Arial"/>
                <w:color w:val="auto"/>
                <w:sz w:val="21"/>
              </w:rPr>
            </w:pPr>
          </w:p>
        </w:tc>
        <w:tc>
          <w:tcPr>
            <w:tcW w:w="826" w:type="dxa"/>
            <w:vAlign w:val="top"/>
          </w:tcPr>
          <w:p w14:paraId="02A6187A">
            <w:pPr>
              <w:rPr>
                <w:rFonts w:ascii="Arial"/>
                <w:color w:val="auto"/>
                <w:sz w:val="21"/>
              </w:rPr>
            </w:pPr>
          </w:p>
        </w:tc>
        <w:tc>
          <w:tcPr>
            <w:tcW w:w="833" w:type="dxa"/>
            <w:vAlign w:val="top"/>
          </w:tcPr>
          <w:p w14:paraId="5D4CDC36">
            <w:pPr>
              <w:rPr>
                <w:rFonts w:ascii="Arial"/>
                <w:color w:val="auto"/>
                <w:sz w:val="21"/>
              </w:rPr>
            </w:pPr>
          </w:p>
        </w:tc>
        <w:tc>
          <w:tcPr>
            <w:tcW w:w="848" w:type="dxa"/>
            <w:vAlign w:val="top"/>
          </w:tcPr>
          <w:p w14:paraId="5C0FA785">
            <w:pPr>
              <w:rPr>
                <w:rFonts w:ascii="Arial"/>
                <w:color w:val="auto"/>
                <w:sz w:val="21"/>
              </w:rPr>
            </w:pPr>
          </w:p>
        </w:tc>
        <w:tc>
          <w:tcPr>
            <w:tcW w:w="1614" w:type="dxa"/>
            <w:vAlign w:val="top"/>
          </w:tcPr>
          <w:p w14:paraId="5B29E56C">
            <w:pPr>
              <w:rPr>
                <w:rFonts w:ascii="Arial"/>
                <w:color w:val="auto"/>
                <w:sz w:val="21"/>
              </w:rPr>
            </w:pPr>
          </w:p>
        </w:tc>
      </w:tr>
      <w:tr w14:paraId="5E21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14" w:type="dxa"/>
            <w:vAlign w:val="top"/>
          </w:tcPr>
          <w:p w14:paraId="69DDC1EE">
            <w:pPr>
              <w:rPr>
                <w:rFonts w:ascii="Arial"/>
                <w:color w:val="auto"/>
                <w:sz w:val="21"/>
              </w:rPr>
            </w:pPr>
          </w:p>
        </w:tc>
        <w:tc>
          <w:tcPr>
            <w:tcW w:w="1027" w:type="dxa"/>
            <w:vAlign w:val="top"/>
          </w:tcPr>
          <w:p w14:paraId="4978FE14">
            <w:pPr>
              <w:rPr>
                <w:rFonts w:ascii="Arial"/>
                <w:color w:val="auto"/>
                <w:sz w:val="21"/>
              </w:rPr>
            </w:pPr>
          </w:p>
        </w:tc>
        <w:tc>
          <w:tcPr>
            <w:tcW w:w="939" w:type="dxa"/>
            <w:vAlign w:val="top"/>
          </w:tcPr>
          <w:p w14:paraId="0E19D9DE">
            <w:pPr>
              <w:rPr>
                <w:rFonts w:ascii="Arial"/>
                <w:color w:val="auto"/>
                <w:sz w:val="21"/>
              </w:rPr>
            </w:pPr>
          </w:p>
        </w:tc>
        <w:tc>
          <w:tcPr>
            <w:tcW w:w="863" w:type="dxa"/>
            <w:vAlign w:val="top"/>
          </w:tcPr>
          <w:p w14:paraId="1ED79E6F">
            <w:pPr>
              <w:rPr>
                <w:rFonts w:ascii="Arial"/>
                <w:color w:val="auto"/>
                <w:sz w:val="21"/>
              </w:rPr>
            </w:pPr>
          </w:p>
        </w:tc>
        <w:tc>
          <w:tcPr>
            <w:tcW w:w="826" w:type="dxa"/>
            <w:vAlign w:val="top"/>
          </w:tcPr>
          <w:p w14:paraId="1FC94DD9">
            <w:pPr>
              <w:rPr>
                <w:rFonts w:ascii="Arial"/>
                <w:color w:val="auto"/>
                <w:sz w:val="21"/>
              </w:rPr>
            </w:pPr>
          </w:p>
        </w:tc>
        <w:tc>
          <w:tcPr>
            <w:tcW w:w="833" w:type="dxa"/>
            <w:vAlign w:val="top"/>
          </w:tcPr>
          <w:p w14:paraId="515849F5">
            <w:pPr>
              <w:rPr>
                <w:rFonts w:ascii="Arial"/>
                <w:color w:val="auto"/>
                <w:sz w:val="21"/>
              </w:rPr>
            </w:pPr>
          </w:p>
        </w:tc>
        <w:tc>
          <w:tcPr>
            <w:tcW w:w="848" w:type="dxa"/>
            <w:vAlign w:val="top"/>
          </w:tcPr>
          <w:p w14:paraId="5AA1BB85">
            <w:pPr>
              <w:rPr>
                <w:rFonts w:ascii="Arial"/>
                <w:color w:val="auto"/>
                <w:sz w:val="21"/>
              </w:rPr>
            </w:pPr>
          </w:p>
        </w:tc>
        <w:tc>
          <w:tcPr>
            <w:tcW w:w="1614" w:type="dxa"/>
            <w:vAlign w:val="top"/>
          </w:tcPr>
          <w:p w14:paraId="02C4AA9B">
            <w:pPr>
              <w:rPr>
                <w:rFonts w:ascii="Arial"/>
                <w:color w:val="auto"/>
                <w:sz w:val="21"/>
              </w:rPr>
            </w:pPr>
          </w:p>
        </w:tc>
      </w:tr>
      <w:tr w14:paraId="4DA67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114" w:type="dxa"/>
            <w:vAlign w:val="top"/>
          </w:tcPr>
          <w:p w14:paraId="080AE4BE">
            <w:pPr>
              <w:rPr>
                <w:rFonts w:ascii="Arial"/>
                <w:color w:val="auto"/>
                <w:sz w:val="21"/>
              </w:rPr>
            </w:pPr>
          </w:p>
        </w:tc>
        <w:tc>
          <w:tcPr>
            <w:tcW w:w="1027" w:type="dxa"/>
            <w:vAlign w:val="top"/>
          </w:tcPr>
          <w:p w14:paraId="5229110B">
            <w:pPr>
              <w:rPr>
                <w:rFonts w:ascii="Arial"/>
                <w:color w:val="auto"/>
                <w:sz w:val="21"/>
              </w:rPr>
            </w:pPr>
          </w:p>
        </w:tc>
        <w:tc>
          <w:tcPr>
            <w:tcW w:w="939" w:type="dxa"/>
            <w:vAlign w:val="top"/>
          </w:tcPr>
          <w:p w14:paraId="42C7A603">
            <w:pPr>
              <w:rPr>
                <w:rFonts w:ascii="Arial"/>
                <w:color w:val="auto"/>
                <w:sz w:val="21"/>
              </w:rPr>
            </w:pPr>
          </w:p>
        </w:tc>
        <w:tc>
          <w:tcPr>
            <w:tcW w:w="863" w:type="dxa"/>
            <w:vAlign w:val="top"/>
          </w:tcPr>
          <w:p w14:paraId="02F9C503">
            <w:pPr>
              <w:rPr>
                <w:rFonts w:ascii="Arial"/>
                <w:color w:val="auto"/>
                <w:sz w:val="21"/>
              </w:rPr>
            </w:pPr>
          </w:p>
        </w:tc>
        <w:tc>
          <w:tcPr>
            <w:tcW w:w="826" w:type="dxa"/>
            <w:vAlign w:val="top"/>
          </w:tcPr>
          <w:p w14:paraId="2212B263">
            <w:pPr>
              <w:rPr>
                <w:rFonts w:ascii="Arial"/>
                <w:color w:val="auto"/>
                <w:sz w:val="21"/>
              </w:rPr>
            </w:pPr>
          </w:p>
        </w:tc>
        <w:tc>
          <w:tcPr>
            <w:tcW w:w="833" w:type="dxa"/>
            <w:vAlign w:val="top"/>
          </w:tcPr>
          <w:p w14:paraId="7A6EF680">
            <w:pPr>
              <w:rPr>
                <w:rFonts w:ascii="Arial"/>
                <w:color w:val="auto"/>
                <w:sz w:val="21"/>
              </w:rPr>
            </w:pPr>
          </w:p>
        </w:tc>
        <w:tc>
          <w:tcPr>
            <w:tcW w:w="848" w:type="dxa"/>
            <w:vAlign w:val="top"/>
          </w:tcPr>
          <w:p w14:paraId="3E6BB297">
            <w:pPr>
              <w:rPr>
                <w:rFonts w:ascii="Arial"/>
                <w:color w:val="auto"/>
                <w:sz w:val="21"/>
              </w:rPr>
            </w:pPr>
          </w:p>
        </w:tc>
        <w:tc>
          <w:tcPr>
            <w:tcW w:w="1614" w:type="dxa"/>
            <w:vAlign w:val="top"/>
          </w:tcPr>
          <w:p w14:paraId="4BA069F0">
            <w:pPr>
              <w:rPr>
                <w:rFonts w:ascii="Arial"/>
                <w:color w:val="auto"/>
                <w:sz w:val="21"/>
              </w:rPr>
            </w:pPr>
          </w:p>
        </w:tc>
      </w:tr>
      <w:tr w14:paraId="13DC8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14" w:type="dxa"/>
            <w:vAlign w:val="top"/>
          </w:tcPr>
          <w:p w14:paraId="3F406E61">
            <w:pPr>
              <w:rPr>
                <w:rFonts w:ascii="Arial"/>
                <w:color w:val="auto"/>
                <w:sz w:val="21"/>
              </w:rPr>
            </w:pPr>
          </w:p>
        </w:tc>
        <w:tc>
          <w:tcPr>
            <w:tcW w:w="1027" w:type="dxa"/>
            <w:vAlign w:val="top"/>
          </w:tcPr>
          <w:p w14:paraId="58624344">
            <w:pPr>
              <w:rPr>
                <w:rFonts w:ascii="Arial"/>
                <w:color w:val="auto"/>
                <w:sz w:val="21"/>
              </w:rPr>
            </w:pPr>
          </w:p>
        </w:tc>
        <w:tc>
          <w:tcPr>
            <w:tcW w:w="939" w:type="dxa"/>
            <w:vAlign w:val="top"/>
          </w:tcPr>
          <w:p w14:paraId="03FB4F75">
            <w:pPr>
              <w:rPr>
                <w:rFonts w:ascii="Arial"/>
                <w:color w:val="auto"/>
                <w:sz w:val="21"/>
              </w:rPr>
            </w:pPr>
          </w:p>
        </w:tc>
        <w:tc>
          <w:tcPr>
            <w:tcW w:w="863" w:type="dxa"/>
            <w:vAlign w:val="top"/>
          </w:tcPr>
          <w:p w14:paraId="4312CADA">
            <w:pPr>
              <w:rPr>
                <w:rFonts w:ascii="Arial"/>
                <w:color w:val="auto"/>
                <w:sz w:val="21"/>
              </w:rPr>
            </w:pPr>
          </w:p>
        </w:tc>
        <w:tc>
          <w:tcPr>
            <w:tcW w:w="826" w:type="dxa"/>
            <w:vAlign w:val="top"/>
          </w:tcPr>
          <w:p w14:paraId="7C280C2F">
            <w:pPr>
              <w:rPr>
                <w:rFonts w:ascii="Arial"/>
                <w:color w:val="auto"/>
                <w:sz w:val="21"/>
              </w:rPr>
            </w:pPr>
          </w:p>
        </w:tc>
        <w:tc>
          <w:tcPr>
            <w:tcW w:w="833" w:type="dxa"/>
            <w:vAlign w:val="top"/>
          </w:tcPr>
          <w:p w14:paraId="508BED84">
            <w:pPr>
              <w:rPr>
                <w:rFonts w:ascii="Arial"/>
                <w:color w:val="auto"/>
                <w:sz w:val="21"/>
              </w:rPr>
            </w:pPr>
          </w:p>
        </w:tc>
        <w:tc>
          <w:tcPr>
            <w:tcW w:w="848" w:type="dxa"/>
            <w:vAlign w:val="top"/>
          </w:tcPr>
          <w:p w14:paraId="14EAAA06">
            <w:pPr>
              <w:rPr>
                <w:rFonts w:ascii="Arial"/>
                <w:color w:val="auto"/>
                <w:sz w:val="21"/>
              </w:rPr>
            </w:pPr>
          </w:p>
        </w:tc>
        <w:tc>
          <w:tcPr>
            <w:tcW w:w="1614" w:type="dxa"/>
            <w:vAlign w:val="top"/>
          </w:tcPr>
          <w:p w14:paraId="41E57E6D">
            <w:pPr>
              <w:rPr>
                <w:rFonts w:ascii="Arial"/>
                <w:color w:val="auto"/>
                <w:sz w:val="21"/>
              </w:rPr>
            </w:pPr>
          </w:p>
        </w:tc>
      </w:tr>
      <w:tr w14:paraId="7075E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114" w:type="dxa"/>
            <w:vAlign w:val="top"/>
          </w:tcPr>
          <w:p w14:paraId="27EAD295">
            <w:pPr>
              <w:rPr>
                <w:rFonts w:ascii="Arial"/>
                <w:color w:val="auto"/>
                <w:sz w:val="21"/>
              </w:rPr>
            </w:pPr>
          </w:p>
        </w:tc>
        <w:tc>
          <w:tcPr>
            <w:tcW w:w="1027" w:type="dxa"/>
            <w:vAlign w:val="top"/>
          </w:tcPr>
          <w:p w14:paraId="6860DDEE">
            <w:pPr>
              <w:rPr>
                <w:rFonts w:ascii="Arial"/>
                <w:color w:val="auto"/>
                <w:sz w:val="21"/>
              </w:rPr>
            </w:pPr>
          </w:p>
        </w:tc>
        <w:tc>
          <w:tcPr>
            <w:tcW w:w="939" w:type="dxa"/>
            <w:vAlign w:val="top"/>
          </w:tcPr>
          <w:p w14:paraId="2BDA5C8E">
            <w:pPr>
              <w:rPr>
                <w:rFonts w:ascii="Arial"/>
                <w:color w:val="auto"/>
                <w:sz w:val="21"/>
              </w:rPr>
            </w:pPr>
          </w:p>
        </w:tc>
        <w:tc>
          <w:tcPr>
            <w:tcW w:w="863" w:type="dxa"/>
            <w:vAlign w:val="top"/>
          </w:tcPr>
          <w:p w14:paraId="62553C0F">
            <w:pPr>
              <w:rPr>
                <w:rFonts w:ascii="Arial"/>
                <w:color w:val="auto"/>
                <w:sz w:val="21"/>
              </w:rPr>
            </w:pPr>
          </w:p>
        </w:tc>
        <w:tc>
          <w:tcPr>
            <w:tcW w:w="826" w:type="dxa"/>
            <w:vAlign w:val="top"/>
          </w:tcPr>
          <w:p w14:paraId="10FF250A">
            <w:pPr>
              <w:rPr>
                <w:rFonts w:ascii="Arial"/>
                <w:color w:val="auto"/>
                <w:sz w:val="21"/>
              </w:rPr>
            </w:pPr>
          </w:p>
        </w:tc>
        <w:tc>
          <w:tcPr>
            <w:tcW w:w="833" w:type="dxa"/>
            <w:vAlign w:val="top"/>
          </w:tcPr>
          <w:p w14:paraId="6F88B827">
            <w:pPr>
              <w:rPr>
                <w:rFonts w:ascii="Arial"/>
                <w:color w:val="auto"/>
                <w:sz w:val="21"/>
              </w:rPr>
            </w:pPr>
          </w:p>
        </w:tc>
        <w:tc>
          <w:tcPr>
            <w:tcW w:w="848" w:type="dxa"/>
            <w:vAlign w:val="top"/>
          </w:tcPr>
          <w:p w14:paraId="4DDCE5D2">
            <w:pPr>
              <w:rPr>
                <w:rFonts w:ascii="Arial"/>
                <w:color w:val="auto"/>
                <w:sz w:val="21"/>
              </w:rPr>
            </w:pPr>
          </w:p>
        </w:tc>
        <w:tc>
          <w:tcPr>
            <w:tcW w:w="1614" w:type="dxa"/>
            <w:vAlign w:val="top"/>
          </w:tcPr>
          <w:p w14:paraId="0B0C29D7">
            <w:pPr>
              <w:rPr>
                <w:rFonts w:ascii="Arial"/>
                <w:color w:val="auto"/>
                <w:sz w:val="21"/>
              </w:rPr>
            </w:pPr>
          </w:p>
        </w:tc>
      </w:tr>
      <w:tr w14:paraId="52F26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114" w:type="dxa"/>
            <w:vAlign w:val="top"/>
          </w:tcPr>
          <w:p w14:paraId="090416A5">
            <w:pPr>
              <w:rPr>
                <w:rFonts w:ascii="Arial"/>
                <w:color w:val="auto"/>
                <w:sz w:val="21"/>
              </w:rPr>
            </w:pPr>
          </w:p>
        </w:tc>
        <w:tc>
          <w:tcPr>
            <w:tcW w:w="1027" w:type="dxa"/>
            <w:vAlign w:val="top"/>
          </w:tcPr>
          <w:p w14:paraId="16B2DD01">
            <w:pPr>
              <w:rPr>
                <w:rFonts w:ascii="Arial"/>
                <w:color w:val="auto"/>
                <w:sz w:val="21"/>
              </w:rPr>
            </w:pPr>
          </w:p>
        </w:tc>
        <w:tc>
          <w:tcPr>
            <w:tcW w:w="939" w:type="dxa"/>
            <w:vAlign w:val="top"/>
          </w:tcPr>
          <w:p w14:paraId="638D72CE">
            <w:pPr>
              <w:rPr>
                <w:rFonts w:ascii="Arial"/>
                <w:color w:val="auto"/>
                <w:sz w:val="21"/>
              </w:rPr>
            </w:pPr>
          </w:p>
        </w:tc>
        <w:tc>
          <w:tcPr>
            <w:tcW w:w="863" w:type="dxa"/>
            <w:vAlign w:val="top"/>
          </w:tcPr>
          <w:p w14:paraId="22F08D32">
            <w:pPr>
              <w:rPr>
                <w:rFonts w:ascii="Arial"/>
                <w:color w:val="auto"/>
                <w:sz w:val="21"/>
              </w:rPr>
            </w:pPr>
          </w:p>
        </w:tc>
        <w:tc>
          <w:tcPr>
            <w:tcW w:w="826" w:type="dxa"/>
            <w:vAlign w:val="top"/>
          </w:tcPr>
          <w:p w14:paraId="350807B6">
            <w:pPr>
              <w:rPr>
                <w:rFonts w:ascii="Arial"/>
                <w:color w:val="auto"/>
                <w:sz w:val="21"/>
              </w:rPr>
            </w:pPr>
          </w:p>
        </w:tc>
        <w:tc>
          <w:tcPr>
            <w:tcW w:w="833" w:type="dxa"/>
            <w:vAlign w:val="top"/>
          </w:tcPr>
          <w:p w14:paraId="6784BDA2">
            <w:pPr>
              <w:rPr>
                <w:rFonts w:ascii="Arial"/>
                <w:color w:val="auto"/>
                <w:sz w:val="21"/>
              </w:rPr>
            </w:pPr>
          </w:p>
        </w:tc>
        <w:tc>
          <w:tcPr>
            <w:tcW w:w="848" w:type="dxa"/>
            <w:vAlign w:val="top"/>
          </w:tcPr>
          <w:p w14:paraId="366595A1">
            <w:pPr>
              <w:rPr>
                <w:rFonts w:ascii="Arial"/>
                <w:color w:val="auto"/>
                <w:sz w:val="21"/>
              </w:rPr>
            </w:pPr>
          </w:p>
        </w:tc>
        <w:tc>
          <w:tcPr>
            <w:tcW w:w="1614" w:type="dxa"/>
            <w:vAlign w:val="top"/>
          </w:tcPr>
          <w:p w14:paraId="49CF74D4">
            <w:pPr>
              <w:rPr>
                <w:rFonts w:ascii="Arial"/>
                <w:color w:val="auto"/>
                <w:sz w:val="21"/>
              </w:rPr>
            </w:pPr>
          </w:p>
        </w:tc>
      </w:tr>
      <w:tr w14:paraId="5BC0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114" w:type="dxa"/>
            <w:vAlign w:val="top"/>
          </w:tcPr>
          <w:p w14:paraId="2CB1A8BE">
            <w:pPr>
              <w:rPr>
                <w:rFonts w:ascii="Arial"/>
                <w:color w:val="auto"/>
                <w:sz w:val="21"/>
              </w:rPr>
            </w:pPr>
          </w:p>
        </w:tc>
        <w:tc>
          <w:tcPr>
            <w:tcW w:w="1027" w:type="dxa"/>
            <w:vAlign w:val="top"/>
          </w:tcPr>
          <w:p w14:paraId="209DAA64">
            <w:pPr>
              <w:rPr>
                <w:rFonts w:ascii="Arial"/>
                <w:color w:val="auto"/>
                <w:sz w:val="21"/>
              </w:rPr>
            </w:pPr>
          </w:p>
        </w:tc>
        <w:tc>
          <w:tcPr>
            <w:tcW w:w="939" w:type="dxa"/>
            <w:vAlign w:val="top"/>
          </w:tcPr>
          <w:p w14:paraId="08846362">
            <w:pPr>
              <w:rPr>
                <w:rFonts w:ascii="Arial"/>
                <w:color w:val="auto"/>
                <w:sz w:val="21"/>
              </w:rPr>
            </w:pPr>
          </w:p>
        </w:tc>
        <w:tc>
          <w:tcPr>
            <w:tcW w:w="863" w:type="dxa"/>
            <w:vAlign w:val="top"/>
          </w:tcPr>
          <w:p w14:paraId="7AD21151">
            <w:pPr>
              <w:rPr>
                <w:rFonts w:ascii="Arial"/>
                <w:color w:val="auto"/>
                <w:sz w:val="21"/>
              </w:rPr>
            </w:pPr>
          </w:p>
        </w:tc>
        <w:tc>
          <w:tcPr>
            <w:tcW w:w="826" w:type="dxa"/>
            <w:vAlign w:val="top"/>
          </w:tcPr>
          <w:p w14:paraId="41ED501F">
            <w:pPr>
              <w:rPr>
                <w:rFonts w:ascii="Arial"/>
                <w:color w:val="auto"/>
                <w:sz w:val="21"/>
              </w:rPr>
            </w:pPr>
          </w:p>
        </w:tc>
        <w:tc>
          <w:tcPr>
            <w:tcW w:w="833" w:type="dxa"/>
            <w:vAlign w:val="top"/>
          </w:tcPr>
          <w:p w14:paraId="0D25A81E">
            <w:pPr>
              <w:rPr>
                <w:rFonts w:ascii="Arial"/>
                <w:color w:val="auto"/>
                <w:sz w:val="21"/>
              </w:rPr>
            </w:pPr>
          </w:p>
        </w:tc>
        <w:tc>
          <w:tcPr>
            <w:tcW w:w="848" w:type="dxa"/>
            <w:vAlign w:val="top"/>
          </w:tcPr>
          <w:p w14:paraId="66EFD0BF">
            <w:pPr>
              <w:rPr>
                <w:rFonts w:ascii="Arial"/>
                <w:color w:val="auto"/>
                <w:sz w:val="21"/>
              </w:rPr>
            </w:pPr>
          </w:p>
        </w:tc>
        <w:tc>
          <w:tcPr>
            <w:tcW w:w="1614" w:type="dxa"/>
            <w:vAlign w:val="top"/>
          </w:tcPr>
          <w:p w14:paraId="1F87F32D">
            <w:pPr>
              <w:rPr>
                <w:rFonts w:ascii="Arial"/>
                <w:color w:val="auto"/>
                <w:sz w:val="21"/>
              </w:rPr>
            </w:pPr>
          </w:p>
        </w:tc>
      </w:tr>
    </w:tbl>
    <w:p w14:paraId="02EFB31F">
      <w:pPr>
        <w:spacing w:line="20" w:lineRule="exact"/>
        <w:rPr>
          <w:color w:val="auto"/>
        </w:rPr>
      </w:pPr>
    </w:p>
    <w:p w14:paraId="751758EC">
      <w:pPr>
        <w:pStyle w:val="2"/>
        <w:spacing w:before="45" w:line="386" w:lineRule="auto"/>
        <w:ind w:left="786" w:leftChars="57" w:right="2935" w:hanging="666" w:hangingChars="300"/>
        <w:jc w:val="left"/>
        <w:rPr>
          <w:color w:val="auto"/>
        </w:rPr>
      </w:pPr>
      <w:r>
        <w:rPr>
          <w:rFonts w:ascii="宋体" w:hAnsi="宋体" w:eastAsia="宋体" w:cs="宋体"/>
          <w:color w:val="auto"/>
          <w:spacing w:val="1"/>
          <w:sz w:val="22"/>
          <w:szCs w:val="22"/>
        </w:rPr>
        <w:t>注：本表反映部门本年度政府性基金预算财</w:t>
      </w:r>
      <w:r>
        <w:rPr>
          <w:rFonts w:ascii="宋体" w:hAnsi="宋体" w:eastAsia="宋体" w:cs="宋体"/>
          <w:color w:val="auto"/>
          <w:sz w:val="22"/>
          <w:szCs w:val="22"/>
        </w:rPr>
        <w:t>政拨款收入、支出及结转和结余情况。</w:t>
      </w:r>
      <w:r>
        <w:rPr>
          <w:color w:val="auto"/>
          <w:spacing w:val="7"/>
        </w:rPr>
        <w:t>本单位</w:t>
      </w:r>
      <w:r>
        <w:rPr>
          <w:rFonts w:hint="eastAsia"/>
          <w:color w:val="auto"/>
          <w:spacing w:val="7"/>
          <w:lang w:eastAsia="zh-CN"/>
        </w:rPr>
        <w:t>无此项内容，本表无数据。</w:t>
      </w:r>
    </w:p>
    <w:p w14:paraId="7320A77E">
      <w:pPr>
        <w:spacing w:line="386" w:lineRule="auto"/>
        <w:rPr>
          <w:color w:val="auto"/>
        </w:rPr>
        <w:sectPr>
          <w:footerReference r:id="rId10" w:type="default"/>
          <w:pgSz w:w="11906" w:h="16839"/>
          <w:pgMar w:top="566" w:right="119" w:bottom="1156" w:left="717" w:header="0" w:footer="994" w:gutter="0"/>
          <w:pgBorders>
            <w:top w:val="none" w:sz="0" w:space="0"/>
            <w:left w:val="none" w:sz="0" w:space="0"/>
            <w:bottom w:val="none" w:sz="0" w:space="0"/>
            <w:right w:val="none" w:sz="0" w:space="0"/>
          </w:pgBorders>
          <w:cols w:space="720" w:num="1"/>
        </w:sectPr>
      </w:pPr>
    </w:p>
    <w:p w14:paraId="7C7A659F">
      <w:pPr>
        <w:pStyle w:val="2"/>
        <w:spacing w:before="64" w:line="227" w:lineRule="auto"/>
        <w:ind w:left="672"/>
        <w:outlineLvl w:val="0"/>
        <w:rPr>
          <w:color w:val="auto"/>
        </w:rPr>
      </w:pPr>
      <w:r>
        <w:rPr>
          <w:color w:val="auto"/>
          <w:spacing w:val="9"/>
        </w:rPr>
        <w:t>八、国有资本经营预算财政拨款支出决算表</w:t>
      </w:r>
    </w:p>
    <w:p w14:paraId="2DEA9DF1">
      <w:pPr>
        <w:spacing w:before="148" w:line="219" w:lineRule="auto"/>
        <w:ind w:left="2475"/>
        <w:outlineLvl w:val="1"/>
        <w:rPr>
          <w:rFonts w:ascii="宋体" w:hAnsi="宋体" w:eastAsia="宋体" w:cs="宋体"/>
          <w:color w:val="auto"/>
          <w:sz w:val="30"/>
          <w:szCs w:val="30"/>
        </w:rPr>
      </w:pPr>
      <w:r>
        <w:rPr>
          <w:rFonts w:ascii="宋体" w:hAnsi="宋体" w:eastAsia="宋体" w:cs="宋体"/>
          <w:color w:val="auto"/>
          <w:spacing w:val="-3"/>
          <w:sz w:val="30"/>
          <w:szCs w:val="30"/>
        </w:rPr>
        <w:t>国有资本经营预算财政拨款支出决算表</w:t>
      </w:r>
    </w:p>
    <w:p w14:paraId="07F1F650">
      <w:pPr>
        <w:spacing w:before="160" w:line="230" w:lineRule="auto"/>
        <w:ind w:left="9" w:leftChars="0" w:hanging="9" w:hangingChars="5"/>
        <w:jc w:val="right"/>
        <w:rPr>
          <w:rFonts w:ascii="宋体" w:hAnsi="宋体" w:eastAsia="宋体" w:cs="宋体"/>
          <w:color w:val="auto"/>
          <w:sz w:val="19"/>
          <w:szCs w:val="19"/>
        </w:rPr>
      </w:pPr>
      <w:r>
        <w:rPr>
          <w:rFonts w:ascii="宋体" w:hAnsi="宋体" w:eastAsia="宋体" w:cs="宋体"/>
          <w:color w:val="auto"/>
          <w:spacing w:val="1"/>
          <w:sz w:val="19"/>
          <w:szCs w:val="19"/>
        </w:rPr>
        <w:t>公开</w:t>
      </w:r>
      <w:r>
        <w:rPr>
          <w:rFonts w:ascii="宋体" w:hAnsi="宋体" w:eastAsia="宋体" w:cs="宋体"/>
          <w:color w:val="auto"/>
          <w:spacing w:val="-34"/>
          <w:sz w:val="19"/>
          <w:szCs w:val="19"/>
        </w:rPr>
        <w:t xml:space="preserve"> </w:t>
      </w:r>
      <w:r>
        <w:rPr>
          <w:rFonts w:ascii="宋体" w:hAnsi="宋体" w:eastAsia="宋体" w:cs="宋体"/>
          <w:color w:val="auto"/>
          <w:spacing w:val="1"/>
          <w:sz w:val="19"/>
          <w:szCs w:val="19"/>
        </w:rPr>
        <w:t>08</w:t>
      </w:r>
      <w:r>
        <w:rPr>
          <w:rFonts w:ascii="宋体" w:hAnsi="宋体" w:eastAsia="宋体" w:cs="宋体"/>
          <w:color w:val="auto"/>
          <w:spacing w:val="-39"/>
          <w:sz w:val="19"/>
          <w:szCs w:val="19"/>
        </w:rPr>
        <w:t xml:space="preserve"> </w:t>
      </w:r>
      <w:r>
        <w:rPr>
          <w:rFonts w:ascii="宋体" w:hAnsi="宋体" w:eastAsia="宋体" w:cs="宋体"/>
          <w:color w:val="auto"/>
          <w:spacing w:val="1"/>
          <w:sz w:val="19"/>
          <w:szCs w:val="19"/>
        </w:rPr>
        <w:t>表</w:t>
      </w:r>
    </w:p>
    <w:p w14:paraId="765E9865">
      <w:pPr>
        <w:spacing w:before="76" w:line="227" w:lineRule="auto"/>
        <w:ind w:left="123"/>
        <w:rPr>
          <w:rFonts w:ascii="宋体" w:hAnsi="宋体" w:eastAsia="宋体" w:cs="宋体"/>
          <w:color w:val="auto"/>
          <w:sz w:val="19"/>
          <w:szCs w:val="19"/>
        </w:rPr>
      </w:pPr>
      <w:r>
        <w:rPr>
          <w:rFonts w:ascii="宋体" w:hAnsi="宋体" w:eastAsia="宋体" w:cs="宋体"/>
          <w:color w:val="auto"/>
          <w:spacing w:val="7"/>
          <w:sz w:val="19"/>
          <w:szCs w:val="19"/>
        </w:rPr>
        <w:t>部门：鄂州市自然资源和规划局鄂城分局                                           金额单位：万元</w:t>
      </w:r>
    </w:p>
    <w:p w14:paraId="2988727D">
      <w:pPr>
        <w:spacing w:line="22" w:lineRule="exact"/>
        <w:rPr>
          <w:color w:val="auto"/>
        </w:rPr>
      </w:pPr>
    </w:p>
    <w:tbl>
      <w:tblPr>
        <w:tblStyle w:val="7"/>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1095"/>
        <w:gridCol w:w="1569"/>
        <w:gridCol w:w="1353"/>
        <w:gridCol w:w="1684"/>
      </w:tblGrid>
      <w:tr w14:paraId="060F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358" w:type="dxa"/>
            <w:gridSpan w:val="2"/>
            <w:shd w:val="clear" w:color="auto" w:fill="C0C0C0"/>
            <w:vAlign w:val="top"/>
          </w:tcPr>
          <w:p w14:paraId="1DF9CB12">
            <w:pPr>
              <w:pStyle w:val="8"/>
              <w:spacing w:before="51" w:line="218" w:lineRule="auto"/>
              <w:ind w:left="2469"/>
              <w:rPr>
                <w:color w:val="auto"/>
              </w:rPr>
            </w:pPr>
            <w:r>
              <w:rPr>
                <w:color w:val="auto"/>
                <w:spacing w:val="-6"/>
              </w:rPr>
              <w:t>项目</w:t>
            </w:r>
          </w:p>
        </w:tc>
        <w:tc>
          <w:tcPr>
            <w:tcW w:w="4606" w:type="dxa"/>
            <w:gridSpan w:val="3"/>
            <w:shd w:val="clear" w:color="auto" w:fill="C0C0C0"/>
            <w:vAlign w:val="top"/>
          </w:tcPr>
          <w:p w14:paraId="3978261B">
            <w:pPr>
              <w:pStyle w:val="8"/>
              <w:spacing w:before="51" w:line="218" w:lineRule="auto"/>
              <w:ind w:left="1868"/>
              <w:rPr>
                <w:color w:val="auto"/>
              </w:rPr>
            </w:pPr>
            <w:r>
              <w:rPr>
                <w:color w:val="auto"/>
                <w:spacing w:val="-3"/>
              </w:rPr>
              <w:t>本年支出</w:t>
            </w:r>
          </w:p>
        </w:tc>
      </w:tr>
      <w:tr w14:paraId="5A5F4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4263" w:type="dxa"/>
            <w:shd w:val="clear" w:color="auto" w:fill="C0C0C0"/>
            <w:vAlign w:val="top"/>
          </w:tcPr>
          <w:p w14:paraId="0D604CF2">
            <w:pPr>
              <w:spacing w:line="290" w:lineRule="auto"/>
              <w:rPr>
                <w:rFonts w:ascii="Arial"/>
                <w:color w:val="auto"/>
                <w:sz w:val="21"/>
              </w:rPr>
            </w:pPr>
          </w:p>
          <w:p w14:paraId="41779B2B">
            <w:pPr>
              <w:pStyle w:val="8"/>
              <w:spacing w:before="72" w:line="219" w:lineRule="auto"/>
              <w:ind w:left="1698"/>
              <w:rPr>
                <w:color w:val="auto"/>
              </w:rPr>
            </w:pPr>
            <w:r>
              <w:rPr>
                <w:color w:val="auto"/>
                <w:spacing w:val="-2"/>
              </w:rPr>
              <w:t>科目代码</w:t>
            </w:r>
          </w:p>
        </w:tc>
        <w:tc>
          <w:tcPr>
            <w:tcW w:w="1095" w:type="dxa"/>
            <w:shd w:val="clear" w:color="auto" w:fill="C0C0C0"/>
            <w:vAlign w:val="top"/>
          </w:tcPr>
          <w:p w14:paraId="3BE7547A">
            <w:pPr>
              <w:spacing w:line="290" w:lineRule="auto"/>
              <w:rPr>
                <w:rFonts w:ascii="Arial"/>
                <w:color w:val="auto"/>
                <w:sz w:val="21"/>
              </w:rPr>
            </w:pPr>
          </w:p>
          <w:p w14:paraId="63C56EC6">
            <w:pPr>
              <w:pStyle w:val="8"/>
              <w:spacing w:before="72" w:line="219" w:lineRule="auto"/>
              <w:ind w:left="113"/>
              <w:rPr>
                <w:color w:val="auto"/>
              </w:rPr>
            </w:pPr>
            <w:r>
              <w:rPr>
                <w:color w:val="auto"/>
                <w:spacing w:val="-2"/>
              </w:rPr>
              <w:t>科目名称</w:t>
            </w:r>
          </w:p>
        </w:tc>
        <w:tc>
          <w:tcPr>
            <w:tcW w:w="1569" w:type="dxa"/>
            <w:shd w:val="clear" w:color="auto" w:fill="C0C0C0"/>
            <w:vAlign w:val="top"/>
          </w:tcPr>
          <w:p w14:paraId="4A1FDF02">
            <w:pPr>
              <w:spacing w:line="289" w:lineRule="auto"/>
              <w:rPr>
                <w:rFonts w:ascii="Arial"/>
                <w:color w:val="auto"/>
                <w:sz w:val="21"/>
              </w:rPr>
            </w:pPr>
          </w:p>
          <w:p w14:paraId="53D82223">
            <w:pPr>
              <w:pStyle w:val="8"/>
              <w:spacing w:before="72" w:line="222" w:lineRule="auto"/>
              <w:ind w:left="572"/>
              <w:rPr>
                <w:color w:val="auto"/>
              </w:rPr>
            </w:pPr>
            <w:r>
              <w:rPr>
                <w:color w:val="auto"/>
                <w:spacing w:val="-4"/>
              </w:rPr>
              <w:t>合计</w:t>
            </w:r>
          </w:p>
        </w:tc>
        <w:tc>
          <w:tcPr>
            <w:tcW w:w="1353" w:type="dxa"/>
            <w:shd w:val="clear" w:color="auto" w:fill="C0C0C0"/>
            <w:vAlign w:val="top"/>
          </w:tcPr>
          <w:p w14:paraId="5DFD91D2">
            <w:pPr>
              <w:spacing w:line="290" w:lineRule="auto"/>
              <w:rPr>
                <w:rFonts w:ascii="Arial"/>
                <w:color w:val="auto"/>
                <w:sz w:val="21"/>
              </w:rPr>
            </w:pPr>
          </w:p>
          <w:p w14:paraId="02933F0B">
            <w:pPr>
              <w:pStyle w:val="8"/>
              <w:spacing w:before="72" w:line="219" w:lineRule="auto"/>
              <w:ind w:left="243"/>
              <w:rPr>
                <w:color w:val="auto"/>
              </w:rPr>
            </w:pPr>
            <w:r>
              <w:rPr>
                <w:color w:val="auto"/>
                <w:spacing w:val="-2"/>
              </w:rPr>
              <w:t>基本支出</w:t>
            </w:r>
          </w:p>
        </w:tc>
        <w:tc>
          <w:tcPr>
            <w:tcW w:w="1684" w:type="dxa"/>
            <w:shd w:val="clear" w:color="auto" w:fill="C0C0C0"/>
            <w:vAlign w:val="top"/>
          </w:tcPr>
          <w:p w14:paraId="78C66F6E">
            <w:pPr>
              <w:spacing w:line="290" w:lineRule="auto"/>
              <w:rPr>
                <w:rFonts w:ascii="Arial"/>
                <w:color w:val="auto"/>
                <w:sz w:val="21"/>
              </w:rPr>
            </w:pPr>
          </w:p>
          <w:p w14:paraId="4BA8C0A6">
            <w:pPr>
              <w:pStyle w:val="8"/>
              <w:spacing w:before="71" w:line="221" w:lineRule="auto"/>
              <w:ind w:left="410"/>
              <w:rPr>
                <w:color w:val="auto"/>
              </w:rPr>
            </w:pPr>
            <w:r>
              <w:rPr>
                <w:color w:val="auto"/>
                <w:spacing w:val="-3"/>
              </w:rPr>
              <w:t>项目支出</w:t>
            </w:r>
          </w:p>
        </w:tc>
      </w:tr>
      <w:tr w14:paraId="7940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58" w:type="dxa"/>
            <w:gridSpan w:val="2"/>
            <w:shd w:val="clear" w:color="auto" w:fill="C0C0C0"/>
            <w:vAlign w:val="top"/>
          </w:tcPr>
          <w:p w14:paraId="2C634E9B">
            <w:pPr>
              <w:pStyle w:val="8"/>
              <w:spacing w:before="48" w:line="216" w:lineRule="auto"/>
              <w:ind w:left="2466"/>
              <w:rPr>
                <w:color w:val="auto"/>
              </w:rPr>
            </w:pPr>
            <w:r>
              <w:rPr>
                <w:color w:val="auto"/>
                <w:spacing w:val="-4"/>
              </w:rPr>
              <w:t>栏次</w:t>
            </w:r>
          </w:p>
        </w:tc>
        <w:tc>
          <w:tcPr>
            <w:tcW w:w="1569" w:type="dxa"/>
            <w:shd w:val="clear" w:color="auto" w:fill="C0C0C0"/>
            <w:vAlign w:val="top"/>
          </w:tcPr>
          <w:p w14:paraId="38E3D5FC">
            <w:pPr>
              <w:pStyle w:val="8"/>
              <w:spacing w:before="83" w:line="184" w:lineRule="auto"/>
              <w:ind w:left="753"/>
              <w:rPr>
                <w:color w:val="auto"/>
              </w:rPr>
            </w:pPr>
            <w:r>
              <w:rPr>
                <w:color w:val="auto"/>
              </w:rPr>
              <w:t>1</w:t>
            </w:r>
          </w:p>
        </w:tc>
        <w:tc>
          <w:tcPr>
            <w:tcW w:w="1353" w:type="dxa"/>
            <w:shd w:val="clear" w:color="auto" w:fill="C0C0C0"/>
            <w:vAlign w:val="top"/>
          </w:tcPr>
          <w:p w14:paraId="5BAEEE12">
            <w:pPr>
              <w:pStyle w:val="8"/>
              <w:spacing w:before="83" w:line="184" w:lineRule="auto"/>
              <w:ind w:left="632"/>
              <w:rPr>
                <w:color w:val="auto"/>
              </w:rPr>
            </w:pPr>
            <w:r>
              <w:rPr>
                <w:color w:val="auto"/>
              </w:rPr>
              <w:t>2</w:t>
            </w:r>
          </w:p>
        </w:tc>
        <w:tc>
          <w:tcPr>
            <w:tcW w:w="1684" w:type="dxa"/>
            <w:shd w:val="clear" w:color="auto" w:fill="C0C0C0"/>
            <w:vAlign w:val="top"/>
          </w:tcPr>
          <w:p w14:paraId="580800AF">
            <w:pPr>
              <w:pStyle w:val="8"/>
              <w:spacing w:before="83" w:line="184" w:lineRule="auto"/>
              <w:ind w:left="798"/>
              <w:rPr>
                <w:color w:val="auto"/>
              </w:rPr>
            </w:pPr>
            <w:r>
              <w:rPr>
                <w:color w:val="auto"/>
              </w:rPr>
              <w:t>3</w:t>
            </w:r>
          </w:p>
        </w:tc>
      </w:tr>
      <w:tr w14:paraId="42B7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358" w:type="dxa"/>
            <w:gridSpan w:val="2"/>
            <w:shd w:val="clear" w:color="auto" w:fill="C0C0C0"/>
            <w:vAlign w:val="top"/>
          </w:tcPr>
          <w:p w14:paraId="39FFAF1B">
            <w:pPr>
              <w:pStyle w:val="8"/>
              <w:spacing w:before="49" w:line="215" w:lineRule="auto"/>
              <w:ind w:left="2467"/>
              <w:rPr>
                <w:color w:val="auto"/>
              </w:rPr>
            </w:pPr>
            <w:r>
              <w:rPr>
                <w:color w:val="auto"/>
                <w:spacing w:val="-4"/>
              </w:rPr>
              <w:t>合计</w:t>
            </w:r>
          </w:p>
        </w:tc>
        <w:tc>
          <w:tcPr>
            <w:tcW w:w="1569" w:type="dxa"/>
            <w:vAlign w:val="top"/>
          </w:tcPr>
          <w:p w14:paraId="138DB11A">
            <w:pPr>
              <w:rPr>
                <w:rFonts w:ascii="Arial"/>
                <w:color w:val="auto"/>
                <w:sz w:val="21"/>
              </w:rPr>
            </w:pPr>
          </w:p>
        </w:tc>
        <w:tc>
          <w:tcPr>
            <w:tcW w:w="1353" w:type="dxa"/>
            <w:vAlign w:val="top"/>
          </w:tcPr>
          <w:p w14:paraId="6D3E3A3D">
            <w:pPr>
              <w:rPr>
                <w:rFonts w:ascii="Arial"/>
                <w:color w:val="auto"/>
                <w:sz w:val="21"/>
              </w:rPr>
            </w:pPr>
          </w:p>
        </w:tc>
        <w:tc>
          <w:tcPr>
            <w:tcW w:w="1684" w:type="dxa"/>
            <w:vAlign w:val="top"/>
          </w:tcPr>
          <w:p w14:paraId="0DF4EB0A">
            <w:pPr>
              <w:rPr>
                <w:rFonts w:ascii="Arial"/>
                <w:color w:val="auto"/>
                <w:sz w:val="21"/>
              </w:rPr>
            </w:pPr>
          </w:p>
        </w:tc>
      </w:tr>
      <w:tr w14:paraId="3616B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63" w:type="dxa"/>
            <w:vAlign w:val="top"/>
          </w:tcPr>
          <w:p w14:paraId="2559B189">
            <w:pPr>
              <w:rPr>
                <w:rFonts w:ascii="Arial"/>
                <w:color w:val="auto"/>
                <w:sz w:val="21"/>
              </w:rPr>
            </w:pPr>
          </w:p>
        </w:tc>
        <w:tc>
          <w:tcPr>
            <w:tcW w:w="1095" w:type="dxa"/>
            <w:vAlign w:val="top"/>
          </w:tcPr>
          <w:p w14:paraId="404507BA">
            <w:pPr>
              <w:rPr>
                <w:rFonts w:ascii="Arial"/>
                <w:color w:val="auto"/>
                <w:sz w:val="21"/>
              </w:rPr>
            </w:pPr>
          </w:p>
        </w:tc>
        <w:tc>
          <w:tcPr>
            <w:tcW w:w="1569" w:type="dxa"/>
            <w:vAlign w:val="top"/>
          </w:tcPr>
          <w:p w14:paraId="1E9CAFED">
            <w:pPr>
              <w:rPr>
                <w:rFonts w:ascii="Arial"/>
                <w:color w:val="auto"/>
                <w:sz w:val="21"/>
              </w:rPr>
            </w:pPr>
          </w:p>
        </w:tc>
        <w:tc>
          <w:tcPr>
            <w:tcW w:w="1353" w:type="dxa"/>
            <w:vAlign w:val="top"/>
          </w:tcPr>
          <w:p w14:paraId="0DDBCB48">
            <w:pPr>
              <w:rPr>
                <w:rFonts w:ascii="Arial"/>
                <w:color w:val="auto"/>
                <w:sz w:val="21"/>
              </w:rPr>
            </w:pPr>
          </w:p>
        </w:tc>
        <w:tc>
          <w:tcPr>
            <w:tcW w:w="1684" w:type="dxa"/>
            <w:vAlign w:val="top"/>
          </w:tcPr>
          <w:p w14:paraId="649F4CA7">
            <w:pPr>
              <w:rPr>
                <w:rFonts w:ascii="Arial"/>
                <w:color w:val="auto"/>
                <w:sz w:val="21"/>
              </w:rPr>
            </w:pPr>
          </w:p>
        </w:tc>
      </w:tr>
      <w:tr w14:paraId="3F7BF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63" w:type="dxa"/>
            <w:vAlign w:val="top"/>
          </w:tcPr>
          <w:p w14:paraId="0B6BEA8E">
            <w:pPr>
              <w:rPr>
                <w:rFonts w:ascii="Arial"/>
                <w:color w:val="auto"/>
                <w:sz w:val="21"/>
              </w:rPr>
            </w:pPr>
          </w:p>
        </w:tc>
        <w:tc>
          <w:tcPr>
            <w:tcW w:w="1095" w:type="dxa"/>
            <w:vAlign w:val="top"/>
          </w:tcPr>
          <w:p w14:paraId="3D5367A1">
            <w:pPr>
              <w:rPr>
                <w:rFonts w:ascii="Arial"/>
                <w:color w:val="auto"/>
                <w:sz w:val="21"/>
              </w:rPr>
            </w:pPr>
          </w:p>
        </w:tc>
        <w:tc>
          <w:tcPr>
            <w:tcW w:w="1569" w:type="dxa"/>
            <w:vAlign w:val="top"/>
          </w:tcPr>
          <w:p w14:paraId="24D0903D">
            <w:pPr>
              <w:rPr>
                <w:rFonts w:ascii="Arial"/>
                <w:color w:val="auto"/>
                <w:sz w:val="21"/>
              </w:rPr>
            </w:pPr>
          </w:p>
        </w:tc>
        <w:tc>
          <w:tcPr>
            <w:tcW w:w="1353" w:type="dxa"/>
            <w:vAlign w:val="top"/>
          </w:tcPr>
          <w:p w14:paraId="052873A0">
            <w:pPr>
              <w:rPr>
                <w:rFonts w:ascii="Arial"/>
                <w:color w:val="auto"/>
                <w:sz w:val="21"/>
              </w:rPr>
            </w:pPr>
          </w:p>
        </w:tc>
        <w:tc>
          <w:tcPr>
            <w:tcW w:w="1684" w:type="dxa"/>
            <w:vAlign w:val="top"/>
          </w:tcPr>
          <w:p w14:paraId="6DC627A3">
            <w:pPr>
              <w:rPr>
                <w:rFonts w:ascii="Arial"/>
                <w:color w:val="auto"/>
                <w:sz w:val="21"/>
              </w:rPr>
            </w:pPr>
          </w:p>
        </w:tc>
      </w:tr>
      <w:tr w14:paraId="3034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63" w:type="dxa"/>
            <w:vAlign w:val="top"/>
          </w:tcPr>
          <w:p w14:paraId="0920BFEF">
            <w:pPr>
              <w:rPr>
                <w:rFonts w:ascii="Arial"/>
                <w:color w:val="auto"/>
                <w:sz w:val="21"/>
              </w:rPr>
            </w:pPr>
          </w:p>
        </w:tc>
        <w:tc>
          <w:tcPr>
            <w:tcW w:w="1095" w:type="dxa"/>
            <w:vAlign w:val="top"/>
          </w:tcPr>
          <w:p w14:paraId="4BA6949D">
            <w:pPr>
              <w:rPr>
                <w:rFonts w:ascii="Arial"/>
                <w:color w:val="auto"/>
                <w:sz w:val="21"/>
              </w:rPr>
            </w:pPr>
          </w:p>
        </w:tc>
        <w:tc>
          <w:tcPr>
            <w:tcW w:w="1569" w:type="dxa"/>
            <w:vAlign w:val="top"/>
          </w:tcPr>
          <w:p w14:paraId="033551D8">
            <w:pPr>
              <w:rPr>
                <w:rFonts w:ascii="Arial"/>
                <w:color w:val="auto"/>
                <w:sz w:val="21"/>
              </w:rPr>
            </w:pPr>
          </w:p>
        </w:tc>
        <w:tc>
          <w:tcPr>
            <w:tcW w:w="1353" w:type="dxa"/>
            <w:vAlign w:val="top"/>
          </w:tcPr>
          <w:p w14:paraId="24F0E822">
            <w:pPr>
              <w:rPr>
                <w:rFonts w:ascii="Arial"/>
                <w:color w:val="auto"/>
                <w:sz w:val="21"/>
              </w:rPr>
            </w:pPr>
          </w:p>
        </w:tc>
        <w:tc>
          <w:tcPr>
            <w:tcW w:w="1684" w:type="dxa"/>
            <w:vAlign w:val="top"/>
          </w:tcPr>
          <w:p w14:paraId="2C197E67">
            <w:pPr>
              <w:rPr>
                <w:rFonts w:ascii="Arial"/>
                <w:color w:val="auto"/>
                <w:sz w:val="21"/>
              </w:rPr>
            </w:pPr>
          </w:p>
        </w:tc>
      </w:tr>
      <w:tr w14:paraId="79641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63" w:type="dxa"/>
            <w:vAlign w:val="top"/>
          </w:tcPr>
          <w:p w14:paraId="2696CEA3">
            <w:pPr>
              <w:rPr>
                <w:rFonts w:ascii="Arial"/>
                <w:color w:val="auto"/>
                <w:sz w:val="21"/>
              </w:rPr>
            </w:pPr>
          </w:p>
        </w:tc>
        <w:tc>
          <w:tcPr>
            <w:tcW w:w="1095" w:type="dxa"/>
            <w:vAlign w:val="top"/>
          </w:tcPr>
          <w:p w14:paraId="56EE0BE8">
            <w:pPr>
              <w:rPr>
                <w:rFonts w:ascii="Arial"/>
                <w:color w:val="auto"/>
                <w:sz w:val="21"/>
              </w:rPr>
            </w:pPr>
          </w:p>
        </w:tc>
        <w:tc>
          <w:tcPr>
            <w:tcW w:w="1569" w:type="dxa"/>
            <w:vAlign w:val="top"/>
          </w:tcPr>
          <w:p w14:paraId="2B370598">
            <w:pPr>
              <w:rPr>
                <w:rFonts w:ascii="Arial"/>
                <w:color w:val="auto"/>
                <w:sz w:val="21"/>
              </w:rPr>
            </w:pPr>
          </w:p>
        </w:tc>
        <w:tc>
          <w:tcPr>
            <w:tcW w:w="1353" w:type="dxa"/>
            <w:vAlign w:val="top"/>
          </w:tcPr>
          <w:p w14:paraId="731E0F02">
            <w:pPr>
              <w:rPr>
                <w:rFonts w:ascii="Arial"/>
                <w:color w:val="auto"/>
                <w:sz w:val="21"/>
              </w:rPr>
            </w:pPr>
          </w:p>
        </w:tc>
        <w:tc>
          <w:tcPr>
            <w:tcW w:w="1684" w:type="dxa"/>
            <w:vAlign w:val="top"/>
          </w:tcPr>
          <w:p w14:paraId="4CBF7424">
            <w:pPr>
              <w:rPr>
                <w:rFonts w:ascii="Arial"/>
                <w:color w:val="auto"/>
                <w:sz w:val="21"/>
              </w:rPr>
            </w:pPr>
          </w:p>
        </w:tc>
      </w:tr>
      <w:tr w14:paraId="40D87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63" w:type="dxa"/>
            <w:vAlign w:val="top"/>
          </w:tcPr>
          <w:p w14:paraId="0C212A13">
            <w:pPr>
              <w:rPr>
                <w:rFonts w:ascii="Arial"/>
                <w:color w:val="auto"/>
                <w:sz w:val="21"/>
              </w:rPr>
            </w:pPr>
          </w:p>
        </w:tc>
        <w:tc>
          <w:tcPr>
            <w:tcW w:w="1095" w:type="dxa"/>
            <w:vAlign w:val="top"/>
          </w:tcPr>
          <w:p w14:paraId="3DAD33AA">
            <w:pPr>
              <w:rPr>
                <w:rFonts w:ascii="Arial"/>
                <w:color w:val="auto"/>
                <w:sz w:val="21"/>
              </w:rPr>
            </w:pPr>
          </w:p>
        </w:tc>
        <w:tc>
          <w:tcPr>
            <w:tcW w:w="1569" w:type="dxa"/>
            <w:vAlign w:val="top"/>
          </w:tcPr>
          <w:p w14:paraId="1C93311E">
            <w:pPr>
              <w:rPr>
                <w:rFonts w:ascii="Arial"/>
                <w:color w:val="auto"/>
                <w:sz w:val="21"/>
              </w:rPr>
            </w:pPr>
          </w:p>
        </w:tc>
        <w:tc>
          <w:tcPr>
            <w:tcW w:w="1353" w:type="dxa"/>
            <w:vAlign w:val="top"/>
          </w:tcPr>
          <w:p w14:paraId="11D5B568">
            <w:pPr>
              <w:rPr>
                <w:rFonts w:ascii="Arial"/>
                <w:color w:val="auto"/>
                <w:sz w:val="21"/>
              </w:rPr>
            </w:pPr>
          </w:p>
        </w:tc>
        <w:tc>
          <w:tcPr>
            <w:tcW w:w="1684" w:type="dxa"/>
            <w:vAlign w:val="top"/>
          </w:tcPr>
          <w:p w14:paraId="613546B0">
            <w:pPr>
              <w:rPr>
                <w:rFonts w:ascii="Arial"/>
                <w:color w:val="auto"/>
                <w:sz w:val="21"/>
              </w:rPr>
            </w:pPr>
          </w:p>
        </w:tc>
      </w:tr>
      <w:tr w14:paraId="59D6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63" w:type="dxa"/>
            <w:vAlign w:val="top"/>
          </w:tcPr>
          <w:p w14:paraId="3F93A191">
            <w:pPr>
              <w:rPr>
                <w:rFonts w:ascii="Arial"/>
                <w:color w:val="auto"/>
                <w:sz w:val="21"/>
              </w:rPr>
            </w:pPr>
          </w:p>
        </w:tc>
        <w:tc>
          <w:tcPr>
            <w:tcW w:w="1095" w:type="dxa"/>
            <w:vAlign w:val="top"/>
          </w:tcPr>
          <w:p w14:paraId="1EC9130D">
            <w:pPr>
              <w:rPr>
                <w:rFonts w:ascii="Arial"/>
                <w:color w:val="auto"/>
                <w:sz w:val="21"/>
              </w:rPr>
            </w:pPr>
          </w:p>
        </w:tc>
        <w:tc>
          <w:tcPr>
            <w:tcW w:w="1569" w:type="dxa"/>
            <w:vAlign w:val="top"/>
          </w:tcPr>
          <w:p w14:paraId="7B418B5B">
            <w:pPr>
              <w:rPr>
                <w:rFonts w:ascii="Arial"/>
                <w:color w:val="auto"/>
                <w:sz w:val="21"/>
              </w:rPr>
            </w:pPr>
          </w:p>
        </w:tc>
        <w:tc>
          <w:tcPr>
            <w:tcW w:w="1353" w:type="dxa"/>
            <w:vAlign w:val="top"/>
          </w:tcPr>
          <w:p w14:paraId="25386933">
            <w:pPr>
              <w:rPr>
                <w:rFonts w:ascii="Arial"/>
                <w:color w:val="auto"/>
                <w:sz w:val="21"/>
              </w:rPr>
            </w:pPr>
          </w:p>
        </w:tc>
        <w:tc>
          <w:tcPr>
            <w:tcW w:w="1684" w:type="dxa"/>
            <w:vAlign w:val="top"/>
          </w:tcPr>
          <w:p w14:paraId="1A3A4626">
            <w:pPr>
              <w:rPr>
                <w:rFonts w:ascii="Arial"/>
                <w:color w:val="auto"/>
                <w:sz w:val="21"/>
              </w:rPr>
            </w:pPr>
          </w:p>
        </w:tc>
      </w:tr>
    </w:tbl>
    <w:p w14:paraId="42A64CA1">
      <w:pPr>
        <w:spacing w:before="47" w:line="219" w:lineRule="auto"/>
        <w:ind w:left="121"/>
        <w:rPr>
          <w:rFonts w:ascii="宋体" w:hAnsi="宋体" w:eastAsia="宋体" w:cs="宋体"/>
          <w:color w:val="auto"/>
          <w:sz w:val="22"/>
          <w:szCs w:val="22"/>
        </w:rPr>
      </w:pPr>
      <w:r>
        <w:rPr>
          <w:rFonts w:ascii="宋体" w:hAnsi="宋体" w:eastAsia="宋体" w:cs="宋体"/>
          <w:color w:val="auto"/>
          <w:spacing w:val="-1"/>
          <w:sz w:val="22"/>
          <w:szCs w:val="22"/>
        </w:rPr>
        <w:t>注：本表反映部门本年度国有资本经营预算财政拨款支出情况。</w:t>
      </w:r>
    </w:p>
    <w:p w14:paraId="5EECBF53">
      <w:pPr>
        <w:pStyle w:val="2"/>
        <w:spacing w:before="101" w:line="227" w:lineRule="auto"/>
        <w:ind w:left="680"/>
        <w:rPr>
          <w:rFonts w:hint="eastAsia"/>
          <w:color w:val="auto"/>
          <w:spacing w:val="7"/>
          <w:lang w:eastAsia="zh-CN"/>
        </w:rPr>
      </w:pPr>
      <w:r>
        <w:rPr>
          <w:color w:val="auto"/>
          <w:spacing w:val="7"/>
        </w:rPr>
        <w:t>本单位</w:t>
      </w:r>
      <w:r>
        <w:rPr>
          <w:rFonts w:hint="eastAsia"/>
          <w:color w:val="auto"/>
          <w:spacing w:val="7"/>
          <w:lang w:eastAsia="zh-CN"/>
        </w:rPr>
        <w:t>无此项内容，本表无数据。</w:t>
      </w:r>
    </w:p>
    <w:p w14:paraId="70D54E3E">
      <w:pPr>
        <w:pStyle w:val="2"/>
        <w:spacing w:before="101" w:line="227" w:lineRule="auto"/>
        <w:ind w:left="680"/>
        <w:rPr>
          <w:rFonts w:hint="eastAsia"/>
          <w:color w:val="auto"/>
          <w:spacing w:val="7"/>
          <w:lang w:eastAsia="zh-CN"/>
        </w:rPr>
      </w:pPr>
    </w:p>
    <w:p w14:paraId="53556E25">
      <w:pPr>
        <w:pStyle w:val="2"/>
        <w:spacing w:before="101" w:line="227" w:lineRule="auto"/>
        <w:ind w:left="680"/>
        <w:rPr>
          <w:rFonts w:hint="eastAsia"/>
          <w:color w:val="auto"/>
          <w:spacing w:val="7"/>
          <w:lang w:eastAsia="zh-CN"/>
        </w:rPr>
      </w:pPr>
    </w:p>
    <w:p w14:paraId="54A5CF45">
      <w:pPr>
        <w:pStyle w:val="2"/>
        <w:spacing w:before="101" w:line="227" w:lineRule="auto"/>
        <w:ind w:left="680"/>
        <w:rPr>
          <w:rFonts w:hint="eastAsia"/>
          <w:color w:val="auto"/>
          <w:spacing w:val="7"/>
          <w:lang w:eastAsia="zh-CN"/>
        </w:rPr>
      </w:pPr>
    </w:p>
    <w:p w14:paraId="45C2C743">
      <w:pPr>
        <w:pStyle w:val="2"/>
        <w:spacing w:before="101" w:line="227" w:lineRule="auto"/>
        <w:ind w:left="680"/>
        <w:rPr>
          <w:rFonts w:hint="eastAsia"/>
          <w:color w:val="auto"/>
          <w:spacing w:val="7"/>
          <w:lang w:eastAsia="zh-CN"/>
        </w:rPr>
      </w:pPr>
    </w:p>
    <w:p w14:paraId="12E9033B">
      <w:pPr>
        <w:pStyle w:val="2"/>
        <w:spacing w:before="101" w:line="227" w:lineRule="auto"/>
        <w:ind w:left="680"/>
        <w:rPr>
          <w:rFonts w:hint="eastAsia"/>
          <w:color w:val="auto"/>
          <w:spacing w:val="7"/>
          <w:lang w:eastAsia="zh-CN"/>
        </w:rPr>
      </w:pPr>
    </w:p>
    <w:p w14:paraId="009D33DA">
      <w:pPr>
        <w:pStyle w:val="2"/>
        <w:spacing w:before="101" w:line="227" w:lineRule="auto"/>
        <w:ind w:left="680"/>
        <w:rPr>
          <w:rFonts w:hint="eastAsia"/>
          <w:color w:val="auto"/>
          <w:spacing w:val="7"/>
          <w:lang w:eastAsia="zh-CN"/>
        </w:rPr>
      </w:pPr>
    </w:p>
    <w:p w14:paraId="28FEC096">
      <w:pPr>
        <w:pStyle w:val="2"/>
        <w:spacing w:before="101" w:line="227" w:lineRule="auto"/>
        <w:ind w:left="680"/>
        <w:rPr>
          <w:rFonts w:hint="eastAsia"/>
          <w:color w:val="auto"/>
          <w:spacing w:val="7"/>
          <w:lang w:eastAsia="zh-CN"/>
        </w:rPr>
      </w:pPr>
    </w:p>
    <w:p w14:paraId="0187DEF4">
      <w:pPr>
        <w:pStyle w:val="2"/>
        <w:spacing w:before="101" w:line="227" w:lineRule="auto"/>
        <w:ind w:left="680"/>
        <w:rPr>
          <w:rFonts w:hint="eastAsia"/>
          <w:color w:val="auto"/>
          <w:spacing w:val="7"/>
          <w:lang w:eastAsia="zh-CN"/>
        </w:rPr>
      </w:pPr>
    </w:p>
    <w:p w14:paraId="2B6629C8">
      <w:pPr>
        <w:pStyle w:val="2"/>
        <w:spacing w:before="101" w:line="227" w:lineRule="auto"/>
        <w:ind w:left="680"/>
        <w:rPr>
          <w:rFonts w:hint="eastAsia"/>
          <w:color w:val="auto"/>
          <w:spacing w:val="7"/>
          <w:lang w:eastAsia="zh-CN"/>
        </w:rPr>
      </w:pPr>
    </w:p>
    <w:p w14:paraId="04D7FF70">
      <w:pPr>
        <w:pStyle w:val="2"/>
        <w:spacing w:before="101" w:line="227" w:lineRule="auto"/>
        <w:ind w:left="680"/>
        <w:rPr>
          <w:rFonts w:hint="eastAsia"/>
          <w:color w:val="auto"/>
          <w:spacing w:val="7"/>
          <w:lang w:eastAsia="zh-CN"/>
        </w:rPr>
      </w:pPr>
    </w:p>
    <w:p w14:paraId="31D815A9">
      <w:pPr>
        <w:pStyle w:val="2"/>
        <w:spacing w:before="101" w:line="227" w:lineRule="auto"/>
        <w:ind w:left="680"/>
        <w:rPr>
          <w:rFonts w:hint="eastAsia"/>
          <w:color w:val="auto"/>
          <w:spacing w:val="7"/>
          <w:lang w:eastAsia="zh-CN"/>
        </w:rPr>
      </w:pPr>
    </w:p>
    <w:p w14:paraId="22AC3BC0">
      <w:pPr>
        <w:pStyle w:val="2"/>
        <w:spacing w:before="101" w:line="227" w:lineRule="auto"/>
        <w:ind w:left="680"/>
        <w:rPr>
          <w:rFonts w:hint="eastAsia"/>
          <w:color w:val="auto"/>
          <w:spacing w:val="7"/>
          <w:lang w:eastAsia="zh-CN"/>
        </w:rPr>
      </w:pPr>
    </w:p>
    <w:p w14:paraId="03EB131A">
      <w:pPr>
        <w:pStyle w:val="2"/>
        <w:spacing w:before="101" w:line="227" w:lineRule="auto"/>
        <w:ind w:left="680"/>
        <w:rPr>
          <w:rFonts w:hint="eastAsia"/>
          <w:color w:val="auto"/>
          <w:spacing w:val="7"/>
          <w:lang w:eastAsia="zh-CN"/>
        </w:rPr>
      </w:pPr>
    </w:p>
    <w:p w14:paraId="4B43736D">
      <w:pPr>
        <w:pStyle w:val="2"/>
        <w:spacing w:before="101" w:line="227" w:lineRule="auto"/>
        <w:ind w:left="680"/>
        <w:rPr>
          <w:rFonts w:hint="eastAsia"/>
          <w:color w:val="auto"/>
          <w:spacing w:val="7"/>
          <w:lang w:eastAsia="zh-CN"/>
        </w:rPr>
      </w:pPr>
    </w:p>
    <w:p w14:paraId="5CB94F1C">
      <w:pPr>
        <w:pStyle w:val="2"/>
        <w:spacing w:before="101" w:line="227" w:lineRule="auto"/>
        <w:ind w:left="680"/>
        <w:rPr>
          <w:rFonts w:hint="eastAsia"/>
          <w:color w:val="auto"/>
          <w:spacing w:val="7"/>
          <w:lang w:eastAsia="zh-CN"/>
        </w:rPr>
      </w:pPr>
    </w:p>
    <w:p w14:paraId="5EC1F422">
      <w:pPr>
        <w:pStyle w:val="2"/>
        <w:spacing w:before="101" w:line="227" w:lineRule="auto"/>
        <w:ind w:left="680"/>
        <w:rPr>
          <w:rFonts w:hint="eastAsia"/>
          <w:color w:val="auto"/>
          <w:spacing w:val="7"/>
          <w:lang w:eastAsia="zh-CN"/>
        </w:rPr>
      </w:pPr>
    </w:p>
    <w:p w14:paraId="33E9189A">
      <w:pPr>
        <w:pStyle w:val="2"/>
        <w:spacing w:before="101" w:line="227" w:lineRule="auto"/>
        <w:ind w:left="680"/>
        <w:rPr>
          <w:rFonts w:hint="eastAsia"/>
          <w:color w:val="auto"/>
          <w:spacing w:val="7"/>
          <w:lang w:eastAsia="zh-CN"/>
        </w:rPr>
      </w:pPr>
    </w:p>
    <w:p w14:paraId="08B18428">
      <w:pPr>
        <w:pStyle w:val="2"/>
        <w:spacing w:before="101" w:line="227" w:lineRule="auto"/>
        <w:rPr>
          <w:rFonts w:hint="eastAsia"/>
          <w:color w:val="auto"/>
          <w:spacing w:val="7"/>
          <w:lang w:eastAsia="zh-CN"/>
        </w:rPr>
      </w:pPr>
    </w:p>
    <w:p w14:paraId="7830C5CA">
      <w:pPr>
        <w:pStyle w:val="2"/>
        <w:spacing w:before="101" w:line="227" w:lineRule="auto"/>
        <w:ind w:left="680"/>
        <w:rPr>
          <w:rFonts w:hint="eastAsia"/>
          <w:color w:val="auto"/>
          <w:spacing w:val="7"/>
          <w:lang w:eastAsia="zh-CN"/>
        </w:rPr>
      </w:pPr>
    </w:p>
    <w:p w14:paraId="08155CCC">
      <w:pPr>
        <w:pStyle w:val="2"/>
        <w:spacing w:before="101" w:line="227" w:lineRule="auto"/>
        <w:ind w:left="680"/>
        <w:rPr>
          <w:color w:val="auto"/>
        </w:rPr>
      </w:pPr>
      <w:r>
        <w:rPr>
          <w:color w:val="auto"/>
          <w:spacing w:val="8"/>
        </w:rPr>
        <w:t>九、财政拨款“三公”经费支出决算表</w:t>
      </w:r>
    </w:p>
    <w:p w14:paraId="47200D4C">
      <w:pPr>
        <w:spacing w:before="49"/>
        <w:rPr>
          <w:color w:val="auto"/>
        </w:rPr>
      </w:pPr>
    </w:p>
    <w:p w14:paraId="7609C594">
      <w:pPr>
        <w:spacing w:before="49"/>
        <w:rPr>
          <w:color w:val="auto"/>
        </w:rPr>
      </w:pPr>
    </w:p>
    <w:p w14:paraId="1FA22AE5">
      <w:pPr>
        <w:spacing w:before="49"/>
        <w:jc w:val="center"/>
        <w:rPr>
          <w:color w:val="auto"/>
          <w:sz w:val="30"/>
          <w:szCs w:val="30"/>
        </w:rPr>
      </w:pPr>
    </w:p>
    <w:tbl>
      <w:tblPr>
        <w:tblStyle w:val="7"/>
        <w:tblW w:w="10472" w:type="dxa"/>
        <w:tblInd w:w="16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07"/>
        <w:gridCol w:w="1665"/>
      </w:tblGrid>
      <w:tr w14:paraId="095969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8" w:hRule="atLeast"/>
        </w:trPr>
        <w:tc>
          <w:tcPr>
            <w:tcW w:w="8807" w:type="dxa"/>
            <w:vAlign w:val="top"/>
          </w:tcPr>
          <w:p w14:paraId="04B14C37">
            <w:pPr>
              <w:pStyle w:val="8"/>
              <w:spacing w:line="218" w:lineRule="auto"/>
              <w:ind w:left="1950"/>
              <w:jc w:val="center"/>
              <w:rPr>
                <w:color w:val="auto"/>
                <w:sz w:val="30"/>
                <w:szCs w:val="30"/>
              </w:rPr>
            </w:pPr>
            <w:r>
              <w:rPr>
                <w:color w:val="auto"/>
                <w:spacing w:val="4"/>
                <w:sz w:val="30"/>
                <w:szCs w:val="30"/>
              </w:rPr>
              <w:t>财政拨款“三公</w:t>
            </w:r>
            <w:r>
              <w:rPr>
                <w:color w:val="auto"/>
                <w:spacing w:val="-146"/>
                <w:sz w:val="30"/>
                <w:szCs w:val="30"/>
              </w:rPr>
              <w:t xml:space="preserve"> </w:t>
            </w:r>
            <w:r>
              <w:rPr>
                <w:color w:val="auto"/>
                <w:spacing w:val="4"/>
                <w:sz w:val="30"/>
                <w:szCs w:val="30"/>
              </w:rPr>
              <w:t>”经费支出决算表</w:t>
            </w:r>
          </w:p>
        </w:tc>
        <w:tc>
          <w:tcPr>
            <w:tcW w:w="1665" w:type="dxa"/>
            <w:vAlign w:val="top"/>
          </w:tcPr>
          <w:p w14:paraId="7845CB5F">
            <w:pPr>
              <w:jc w:val="center"/>
              <w:rPr>
                <w:rFonts w:ascii="Arial"/>
                <w:color w:val="auto"/>
                <w:sz w:val="30"/>
                <w:szCs w:val="30"/>
              </w:rPr>
            </w:pPr>
          </w:p>
        </w:tc>
      </w:tr>
      <w:tr w14:paraId="5D0D6E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8807" w:type="dxa"/>
            <w:vAlign w:val="top"/>
          </w:tcPr>
          <w:p w14:paraId="4F117474">
            <w:pPr>
              <w:rPr>
                <w:rFonts w:ascii="Arial"/>
                <w:color w:val="auto"/>
                <w:sz w:val="21"/>
              </w:rPr>
            </w:pPr>
          </w:p>
        </w:tc>
        <w:tc>
          <w:tcPr>
            <w:tcW w:w="1665" w:type="dxa"/>
            <w:vAlign w:val="top"/>
          </w:tcPr>
          <w:p w14:paraId="4E98D9A5">
            <w:pPr>
              <w:pStyle w:val="8"/>
              <w:spacing w:before="78" w:line="230" w:lineRule="auto"/>
              <w:jc w:val="right"/>
              <w:rPr>
                <w:color w:val="auto"/>
                <w:sz w:val="19"/>
                <w:szCs w:val="19"/>
              </w:rPr>
            </w:pPr>
            <w:r>
              <w:rPr>
                <w:color w:val="auto"/>
                <w:spacing w:val="1"/>
                <w:sz w:val="19"/>
                <w:szCs w:val="19"/>
              </w:rPr>
              <w:t>公开</w:t>
            </w:r>
            <w:r>
              <w:rPr>
                <w:color w:val="auto"/>
                <w:spacing w:val="-33"/>
                <w:sz w:val="19"/>
                <w:szCs w:val="19"/>
              </w:rPr>
              <w:t xml:space="preserve"> </w:t>
            </w:r>
            <w:r>
              <w:rPr>
                <w:color w:val="auto"/>
                <w:spacing w:val="1"/>
                <w:sz w:val="19"/>
                <w:szCs w:val="19"/>
              </w:rPr>
              <w:t>09</w:t>
            </w:r>
            <w:r>
              <w:rPr>
                <w:color w:val="auto"/>
                <w:spacing w:val="-38"/>
                <w:sz w:val="19"/>
                <w:szCs w:val="19"/>
              </w:rPr>
              <w:t xml:space="preserve"> </w:t>
            </w:r>
            <w:r>
              <w:rPr>
                <w:color w:val="auto"/>
                <w:spacing w:val="1"/>
                <w:sz w:val="19"/>
                <w:szCs w:val="19"/>
              </w:rPr>
              <w:t>表</w:t>
            </w:r>
          </w:p>
        </w:tc>
      </w:tr>
      <w:tr w14:paraId="51FCA6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60" w:hRule="atLeast"/>
        </w:trPr>
        <w:tc>
          <w:tcPr>
            <w:tcW w:w="8807" w:type="dxa"/>
            <w:vAlign w:val="top"/>
          </w:tcPr>
          <w:p w14:paraId="40679650">
            <w:pPr>
              <w:pStyle w:val="8"/>
              <w:spacing w:before="61" w:line="183" w:lineRule="auto"/>
              <w:rPr>
                <w:color w:val="auto"/>
                <w:sz w:val="19"/>
                <w:szCs w:val="19"/>
              </w:rPr>
            </w:pPr>
            <w:r>
              <w:rPr>
                <w:color w:val="auto"/>
                <w:spacing w:val="9"/>
                <w:sz w:val="19"/>
                <w:szCs w:val="19"/>
              </w:rPr>
              <w:t>部门：鄂州市自然资源和规划局鄂城分局</w:t>
            </w:r>
          </w:p>
        </w:tc>
        <w:tc>
          <w:tcPr>
            <w:tcW w:w="1665" w:type="dxa"/>
            <w:vAlign w:val="top"/>
          </w:tcPr>
          <w:p w14:paraId="475DB662">
            <w:pPr>
              <w:pStyle w:val="8"/>
              <w:spacing w:before="61" w:line="183" w:lineRule="auto"/>
              <w:jc w:val="right"/>
              <w:rPr>
                <w:color w:val="auto"/>
                <w:sz w:val="19"/>
                <w:szCs w:val="19"/>
              </w:rPr>
            </w:pPr>
            <w:r>
              <w:rPr>
                <w:color w:val="auto"/>
                <w:spacing w:val="8"/>
                <w:sz w:val="19"/>
                <w:szCs w:val="19"/>
              </w:rPr>
              <w:t>金额单位：万元</w:t>
            </w:r>
          </w:p>
        </w:tc>
      </w:tr>
    </w:tbl>
    <w:p w14:paraId="64C38578">
      <w:pPr>
        <w:spacing w:line="55" w:lineRule="exact"/>
        <w:rPr>
          <w:color w:val="auto"/>
        </w:rPr>
      </w:pPr>
    </w:p>
    <w:tbl>
      <w:tblPr>
        <w:tblStyle w:val="7"/>
        <w:tblW w:w="10704"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777"/>
        <w:gridCol w:w="1929"/>
        <w:gridCol w:w="1255"/>
        <w:gridCol w:w="692"/>
        <w:gridCol w:w="692"/>
        <w:gridCol w:w="692"/>
        <w:gridCol w:w="860"/>
        <w:gridCol w:w="692"/>
        <w:gridCol w:w="692"/>
        <w:gridCol w:w="692"/>
        <w:gridCol w:w="1035"/>
      </w:tblGrid>
      <w:tr w14:paraId="2ABF0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041" w:type="dxa"/>
            <w:gridSpan w:val="6"/>
            <w:shd w:val="clear" w:color="auto" w:fill="C0C0C0"/>
            <w:vAlign w:val="top"/>
          </w:tcPr>
          <w:p w14:paraId="61543B39">
            <w:pPr>
              <w:pStyle w:val="8"/>
              <w:spacing w:before="63" w:line="220" w:lineRule="auto"/>
              <w:ind w:left="2700"/>
              <w:rPr>
                <w:color w:val="auto"/>
              </w:rPr>
            </w:pPr>
            <w:r>
              <w:rPr>
                <w:color w:val="auto"/>
                <w:spacing w:val="-3"/>
              </w:rPr>
              <w:t>预算数</w:t>
            </w:r>
          </w:p>
        </w:tc>
        <w:tc>
          <w:tcPr>
            <w:tcW w:w="4663" w:type="dxa"/>
            <w:gridSpan w:val="6"/>
            <w:shd w:val="clear" w:color="auto" w:fill="C0C0C0"/>
            <w:vAlign w:val="top"/>
          </w:tcPr>
          <w:p w14:paraId="7C7E62C2">
            <w:pPr>
              <w:pStyle w:val="8"/>
              <w:spacing w:before="63" w:line="220" w:lineRule="auto"/>
              <w:ind w:left="2014"/>
              <w:rPr>
                <w:color w:val="auto"/>
              </w:rPr>
            </w:pPr>
            <w:r>
              <w:rPr>
                <w:color w:val="auto"/>
                <w:spacing w:val="-5"/>
              </w:rPr>
              <w:t>决算数</w:t>
            </w:r>
          </w:p>
        </w:tc>
      </w:tr>
      <w:tr w14:paraId="5910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6" w:type="dxa"/>
            <w:vMerge w:val="restart"/>
            <w:tcBorders>
              <w:bottom w:val="nil"/>
            </w:tcBorders>
            <w:shd w:val="clear" w:color="auto" w:fill="C0C0C0"/>
            <w:vAlign w:val="top"/>
          </w:tcPr>
          <w:p w14:paraId="1927A454">
            <w:pPr>
              <w:spacing w:line="303" w:lineRule="auto"/>
              <w:rPr>
                <w:rFonts w:ascii="Arial"/>
                <w:color w:val="auto"/>
                <w:sz w:val="21"/>
              </w:rPr>
            </w:pPr>
          </w:p>
          <w:p w14:paraId="09005CD5">
            <w:pPr>
              <w:spacing w:line="304" w:lineRule="auto"/>
              <w:rPr>
                <w:rFonts w:ascii="Arial"/>
                <w:color w:val="auto"/>
                <w:sz w:val="21"/>
              </w:rPr>
            </w:pPr>
          </w:p>
          <w:p w14:paraId="10E4D24E">
            <w:pPr>
              <w:spacing w:line="304" w:lineRule="auto"/>
              <w:rPr>
                <w:rFonts w:ascii="Arial"/>
                <w:color w:val="auto"/>
                <w:sz w:val="21"/>
              </w:rPr>
            </w:pPr>
          </w:p>
          <w:p w14:paraId="044A392E">
            <w:pPr>
              <w:pStyle w:val="8"/>
              <w:spacing w:before="71" w:line="222" w:lineRule="auto"/>
              <w:ind w:left="134"/>
              <w:rPr>
                <w:color w:val="auto"/>
              </w:rPr>
            </w:pPr>
            <w:r>
              <w:rPr>
                <w:color w:val="auto"/>
                <w:spacing w:val="-4"/>
              </w:rPr>
              <w:t>合计</w:t>
            </w:r>
          </w:p>
        </w:tc>
        <w:tc>
          <w:tcPr>
            <w:tcW w:w="777" w:type="dxa"/>
            <w:vMerge w:val="restart"/>
            <w:tcBorders>
              <w:bottom w:val="nil"/>
            </w:tcBorders>
            <w:shd w:val="clear" w:color="auto" w:fill="C0C0C0"/>
            <w:vAlign w:val="top"/>
          </w:tcPr>
          <w:p w14:paraId="5F8C1085">
            <w:pPr>
              <w:spacing w:line="447" w:lineRule="auto"/>
              <w:rPr>
                <w:rFonts w:ascii="Arial"/>
                <w:color w:val="auto"/>
                <w:sz w:val="21"/>
              </w:rPr>
            </w:pPr>
          </w:p>
          <w:p w14:paraId="27FFD54C">
            <w:pPr>
              <w:pStyle w:val="8"/>
              <w:spacing w:before="72" w:line="255" w:lineRule="auto"/>
              <w:ind w:left="118" w:right="21" w:firstLine="73"/>
              <w:jc w:val="both"/>
              <w:rPr>
                <w:color w:val="auto"/>
              </w:rPr>
            </w:pPr>
            <w:r>
              <w:rPr>
                <w:color w:val="auto"/>
                <w:spacing w:val="-13"/>
              </w:rPr>
              <w:t>因公</w:t>
            </w:r>
            <w:r>
              <w:rPr>
                <w:color w:val="auto"/>
              </w:rPr>
              <w:t xml:space="preserve">  </w:t>
            </w:r>
            <w:r>
              <w:rPr>
                <w:color w:val="auto"/>
                <w:spacing w:val="24"/>
              </w:rPr>
              <w:t>出国</w:t>
            </w:r>
            <w:r>
              <w:rPr>
                <w:color w:val="auto"/>
              </w:rPr>
              <w:t xml:space="preserve">  </w:t>
            </w:r>
            <w:r>
              <w:rPr>
                <w:color w:val="auto"/>
                <w:spacing w:val="-10"/>
              </w:rPr>
              <w:t>（境）</w:t>
            </w:r>
            <w:r>
              <w:rPr>
                <w:color w:val="auto"/>
                <w:spacing w:val="1"/>
              </w:rPr>
              <w:t xml:space="preserve"> </w:t>
            </w:r>
            <w:r>
              <w:rPr>
                <w:color w:val="auto"/>
                <w:spacing w:val="55"/>
                <w:w w:val="147"/>
              </w:rPr>
              <w:t>费</w:t>
            </w:r>
          </w:p>
        </w:tc>
        <w:tc>
          <w:tcPr>
            <w:tcW w:w="3876" w:type="dxa"/>
            <w:gridSpan w:val="3"/>
            <w:shd w:val="clear" w:color="auto" w:fill="C0C0C0"/>
            <w:vAlign w:val="top"/>
          </w:tcPr>
          <w:p w14:paraId="4F2B1882">
            <w:pPr>
              <w:pStyle w:val="8"/>
              <w:spacing w:before="204" w:line="220" w:lineRule="auto"/>
              <w:ind w:left="630"/>
              <w:rPr>
                <w:color w:val="auto"/>
              </w:rPr>
            </w:pPr>
            <w:r>
              <w:rPr>
                <w:color w:val="auto"/>
                <w:spacing w:val="-2"/>
              </w:rPr>
              <w:t>公务用车购置及运行维护费</w:t>
            </w:r>
          </w:p>
        </w:tc>
        <w:tc>
          <w:tcPr>
            <w:tcW w:w="692" w:type="dxa"/>
            <w:vMerge w:val="restart"/>
            <w:tcBorders>
              <w:bottom w:val="nil"/>
            </w:tcBorders>
            <w:shd w:val="clear" w:color="auto" w:fill="C0C0C0"/>
            <w:vAlign w:val="top"/>
          </w:tcPr>
          <w:p w14:paraId="0D14E871">
            <w:pPr>
              <w:spacing w:line="300" w:lineRule="auto"/>
              <w:rPr>
                <w:rFonts w:ascii="Arial"/>
                <w:color w:val="auto"/>
                <w:sz w:val="21"/>
              </w:rPr>
            </w:pPr>
          </w:p>
          <w:p w14:paraId="4FC4A403">
            <w:pPr>
              <w:spacing w:line="301" w:lineRule="auto"/>
              <w:rPr>
                <w:rFonts w:ascii="Arial"/>
                <w:color w:val="auto"/>
                <w:sz w:val="21"/>
              </w:rPr>
            </w:pPr>
          </w:p>
          <w:p w14:paraId="0DF398E6">
            <w:pPr>
              <w:pStyle w:val="8"/>
              <w:spacing w:before="72" w:line="220" w:lineRule="auto"/>
              <w:ind w:left="140"/>
              <w:rPr>
                <w:color w:val="auto"/>
              </w:rPr>
            </w:pPr>
            <w:r>
              <w:rPr>
                <w:color w:val="auto"/>
                <w:spacing w:val="-7"/>
              </w:rPr>
              <w:t>公务</w:t>
            </w:r>
          </w:p>
          <w:p w14:paraId="1695C60D">
            <w:pPr>
              <w:pStyle w:val="8"/>
              <w:spacing w:before="49" w:line="220" w:lineRule="auto"/>
              <w:ind w:left="132"/>
              <w:rPr>
                <w:color w:val="auto"/>
              </w:rPr>
            </w:pPr>
            <w:r>
              <w:rPr>
                <w:color w:val="auto"/>
                <w:spacing w:val="-3"/>
              </w:rPr>
              <w:t>接待</w:t>
            </w:r>
          </w:p>
          <w:p w14:paraId="2AAD9F12">
            <w:pPr>
              <w:pStyle w:val="8"/>
              <w:spacing w:before="49" w:line="221" w:lineRule="auto"/>
              <w:ind w:left="256"/>
              <w:rPr>
                <w:color w:val="auto"/>
              </w:rPr>
            </w:pPr>
            <w:r>
              <w:rPr>
                <w:color w:val="auto"/>
              </w:rPr>
              <w:t>费</w:t>
            </w:r>
          </w:p>
        </w:tc>
        <w:tc>
          <w:tcPr>
            <w:tcW w:w="692" w:type="dxa"/>
            <w:vMerge w:val="restart"/>
            <w:tcBorders>
              <w:bottom w:val="nil"/>
            </w:tcBorders>
            <w:shd w:val="clear" w:color="auto" w:fill="C0C0C0"/>
            <w:vAlign w:val="top"/>
          </w:tcPr>
          <w:p w14:paraId="36954954">
            <w:pPr>
              <w:spacing w:line="303" w:lineRule="auto"/>
              <w:rPr>
                <w:rFonts w:ascii="Arial"/>
                <w:color w:val="auto"/>
                <w:sz w:val="21"/>
              </w:rPr>
            </w:pPr>
          </w:p>
          <w:p w14:paraId="2EA6F4D7">
            <w:pPr>
              <w:spacing w:line="304" w:lineRule="auto"/>
              <w:rPr>
                <w:rFonts w:ascii="Arial"/>
                <w:color w:val="auto"/>
                <w:sz w:val="21"/>
              </w:rPr>
            </w:pPr>
          </w:p>
          <w:p w14:paraId="3F9C442A">
            <w:pPr>
              <w:spacing w:line="304" w:lineRule="auto"/>
              <w:rPr>
                <w:rFonts w:ascii="Arial"/>
                <w:color w:val="auto"/>
                <w:sz w:val="21"/>
              </w:rPr>
            </w:pPr>
          </w:p>
          <w:p w14:paraId="161658E5">
            <w:pPr>
              <w:pStyle w:val="8"/>
              <w:spacing w:before="71" w:line="222" w:lineRule="auto"/>
              <w:ind w:left="133"/>
              <w:rPr>
                <w:color w:val="auto"/>
              </w:rPr>
            </w:pPr>
            <w:r>
              <w:rPr>
                <w:color w:val="auto"/>
                <w:spacing w:val="-4"/>
              </w:rPr>
              <w:t>合计</w:t>
            </w:r>
          </w:p>
        </w:tc>
        <w:tc>
          <w:tcPr>
            <w:tcW w:w="860" w:type="dxa"/>
            <w:vMerge w:val="restart"/>
            <w:tcBorders>
              <w:bottom w:val="nil"/>
            </w:tcBorders>
            <w:shd w:val="clear" w:color="auto" w:fill="C0C0C0"/>
            <w:vAlign w:val="top"/>
          </w:tcPr>
          <w:p w14:paraId="213AE5BD">
            <w:pPr>
              <w:spacing w:line="447" w:lineRule="auto"/>
              <w:rPr>
                <w:rFonts w:ascii="Arial"/>
                <w:color w:val="auto"/>
                <w:sz w:val="21"/>
              </w:rPr>
            </w:pPr>
          </w:p>
          <w:p w14:paraId="7DC8BAC5">
            <w:pPr>
              <w:pStyle w:val="8"/>
              <w:spacing w:before="72" w:line="255" w:lineRule="auto"/>
              <w:ind w:left="121" w:right="103" w:firstLine="111"/>
              <w:jc w:val="both"/>
              <w:rPr>
                <w:color w:val="auto"/>
              </w:rPr>
            </w:pPr>
            <w:r>
              <w:rPr>
                <w:color w:val="auto"/>
                <w:spacing w:val="-13"/>
              </w:rPr>
              <w:t>因公</w:t>
            </w:r>
            <w:r>
              <w:rPr>
                <w:color w:val="auto"/>
              </w:rPr>
              <w:t xml:space="preserve">  </w:t>
            </w:r>
            <w:r>
              <w:rPr>
                <w:color w:val="auto"/>
                <w:spacing w:val="43"/>
              </w:rPr>
              <w:t>出国</w:t>
            </w:r>
            <w:r>
              <w:rPr>
                <w:color w:val="auto"/>
              </w:rPr>
              <w:t xml:space="preserve">  </w:t>
            </w:r>
            <w:r>
              <w:rPr>
                <w:color w:val="auto"/>
                <w:spacing w:val="-10"/>
              </w:rPr>
              <w:t>（境）</w:t>
            </w:r>
            <w:r>
              <w:rPr>
                <w:color w:val="auto"/>
              </w:rPr>
              <w:t xml:space="preserve"> </w:t>
            </w:r>
            <w:r>
              <w:rPr>
                <w:color w:val="auto"/>
                <w:spacing w:val="82"/>
                <w:w w:val="152"/>
              </w:rPr>
              <w:t>费</w:t>
            </w:r>
          </w:p>
        </w:tc>
        <w:tc>
          <w:tcPr>
            <w:tcW w:w="2076" w:type="dxa"/>
            <w:gridSpan w:val="3"/>
            <w:shd w:val="clear" w:color="auto" w:fill="C0C0C0"/>
            <w:vAlign w:val="top"/>
          </w:tcPr>
          <w:p w14:paraId="4CC5BEB1">
            <w:pPr>
              <w:pStyle w:val="8"/>
              <w:spacing w:before="48" w:line="239" w:lineRule="auto"/>
              <w:ind w:left="609" w:right="150" w:hanging="435"/>
              <w:rPr>
                <w:color w:val="auto"/>
              </w:rPr>
            </w:pPr>
            <w:r>
              <w:rPr>
                <w:color w:val="auto"/>
                <w:spacing w:val="-2"/>
              </w:rPr>
              <w:t>公务用车购置及运</w:t>
            </w:r>
            <w:r>
              <w:rPr>
                <w:color w:val="auto"/>
                <w:spacing w:val="1"/>
              </w:rPr>
              <w:t xml:space="preserve"> </w:t>
            </w:r>
            <w:r>
              <w:rPr>
                <w:color w:val="auto"/>
                <w:spacing w:val="-3"/>
              </w:rPr>
              <w:t>行维护费</w:t>
            </w:r>
          </w:p>
        </w:tc>
        <w:tc>
          <w:tcPr>
            <w:tcW w:w="1035" w:type="dxa"/>
            <w:vMerge w:val="restart"/>
            <w:tcBorders>
              <w:bottom w:val="nil"/>
            </w:tcBorders>
            <w:shd w:val="clear" w:color="auto" w:fill="C0C0C0"/>
            <w:vAlign w:val="top"/>
          </w:tcPr>
          <w:p w14:paraId="7907FEC6">
            <w:pPr>
              <w:spacing w:line="252" w:lineRule="auto"/>
              <w:rPr>
                <w:rFonts w:ascii="Arial"/>
                <w:color w:val="auto"/>
                <w:sz w:val="21"/>
              </w:rPr>
            </w:pPr>
          </w:p>
          <w:p w14:paraId="2FA8CE71">
            <w:pPr>
              <w:spacing w:line="252" w:lineRule="auto"/>
              <w:rPr>
                <w:rFonts w:ascii="Arial"/>
                <w:color w:val="auto"/>
                <w:sz w:val="21"/>
              </w:rPr>
            </w:pPr>
          </w:p>
          <w:p w14:paraId="6A18C8B5">
            <w:pPr>
              <w:spacing w:line="253" w:lineRule="auto"/>
              <w:rPr>
                <w:rFonts w:ascii="Arial"/>
                <w:color w:val="auto"/>
                <w:sz w:val="21"/>
              </w:rPr>
            </w:pPr>
          </w:p>
          <w:p w14:paraId="08FBC6B0">
            <w:pPr>
              <w:pStyle w:val="8"/>
              <w:spacing w:before="72" w:line="248" w:lineRule="auto"/>
              <w:ind w:left="305" w:right="184" w:hanging="105"/>
              <w:rPr>
                <w:color w:val="auto"/>
              </w:rPr>
            </w:pPr>
            <w:r>
              <w:rPr>
                <w:color w:val="auto"/>
                <w:spacing w:val="-6"/>
              </w:rPr>
              <w:t>公务接</w:t>
            </w:r>
            <w:r>
              <w:rPr>
                <w:color w:val="auto"/>
                <w:spacing w:val="1"/>
              </w:rPr>
              <w:t xml:space="preserve"> </w:t>
            </w:r>
            <w:r>
              <w:rPr>
                <w:color w:val="auto"/>
                <w:spacing w:val="-5"/>
              </w:rPr>
              <w:t>待费</w:t>
            </w:r>
          </w:p>
        </w:tc>
      </w:tr>
      <w:tr w14:paraId="3F7DF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96" w:type="dxa"/>
            <w:vMerge w:val="continue"/>
            <w:tcBorders>
              <w:top w:val="nil"/>
            </w:tcBorders>
            <w:vAlign w:val="top"/>
          </w:tcPr>
          <w:p w14:paraId="6ABA120B">
            <w:pPr>
              <w:rPr>
                <w:rFonts w:ascii="Arial"/>
                <w:color w:val="auto"/>
                <w:sz w:val="21"/>
              </w:rPr>
            </w:pPr>
          </w:p>
        </w:tc>
        <w:tc>
          <w:tcPr>
            <w:tcW w:w="777" w:type="dxa"/>
            <w:vMerge w:val="continue"/>
            <w:tcBorders>
              <w:top w:val="nil"/>
            </w:tcBorders>
            <w:vAlign w:val="top"/>
          </w:tcPr>
          <w:p w14:paraId="10D835AF">
            <w:pPr>
              <w:rPr>
                <w:rFonts w:ascii="Arial"/>
                <w:color w:val="auto"/>
                <w:sz w:val="21"/>
              </w:rPr>
            </w:pPr>
          </w:p>
        </w:tc>
        <w:tc>
          <w:tcPr>
            <w:tcW w:w="1929" w:type="dxa"/>
            <w:shd w:val="clear" w:color="auto" w:fill="C0C0C0"/>
            <w:vAlign w:val="top"/>
          </w:tcPr>
          <w:p w14:paraId="683F312B">
            <w:pPr>
              <w:spacing w:line="298" w:lineRule="auto"/>
              <w:rPr>
                <w:rFonts w:ascii="Arial"/>
                <w:color w:val="auto"/>
                <w:sz w:val="21"/>
              </w:rPr>
            </w:pPr>
          </w:p>
          <w:p w14:paraId="48DA489D">
            <w:pPr>
              <w:spacing w:line="298" w:lineRule="auto"/>
              <w:rPr>
                <w:rFonts w:ascii="Arial"/>
                <w:color w:val="auto"/>
                <w:sz w:val="21"/>
              </w:rPr>
            </w:pPr>
          </w:p>
          <w:p w14:paraId="77D91D51">
            <w:pPr>
              <w:pStyle w:val="8"/>
              <w:spacing w:before="72" w:line="222" w:lineRule="auto"/>
              <w:ind w:left="756"/>
              <w:rPr>
                <w:color w:val="auto"/>
              </w:rPr>
            </w:pPr>
            <w:r>
              <w:rPr>
                <w:color w:val="auto"/>
                <w:spacing w:val="-7"/>
              </w:rPr>
              <w:t>小计</w:t>
            </w:r>
          </w:p>
        </w:tc>
        <w:tc>
          <w:tcPr>
            <w:tcW w:w="1255" w:type="dxa"/>
            <w:shd w:val="clear" w:color="auto" w:fill="C0C0C0"/>
            <w:vAlign w:val="top"/>
          </w:tcPr>
          <w:p w14:paraId="3FFA2A58">
            <w:pPr>
              <w:spacing w:line="441" w:lineRule="auto"/>
              <w:rPr>
                <w:rFonts w:ascii="Arial"/>
                <w:color w:val="auto"/>
                <w:sz w:val="21"/>
              </w:rPr>
            </w:pPr>
          </w:p>
          <w:p w14:paraId="4F7BCCD8">
            <w:pPr>
              <w:pStyle w:val="8"/>
              <w:spacing w:before="72" w:line="249" w:lineRule="auto"/>
              <w:ind w:left="302" w:right="183" w:hanging="101"/>
              <w:rPr>
                <w:color w:val="auto"/>
              </w:rPr>
            </w:pPr>
            <w:r>
              <w:rPr>
                <w:color w:val="auto"/>
                <w:spacing w:val="-4"/>
              </w:rPr>
              <w:t>公务用车</w:t>
            </w:r>
            <w:r>
              <w:rPr>
                <w:color w:val="auto"/>
              </w:rPr>
              <w:t xml:space="preserve"> </w:t>
            </w:r>
            <w:r>
              <w:rPr>
                <w:color w:val="auto"/>
                <w:spacing w:val="-2"/>
              </w:rPr>
              <w:t>购置费</w:t>
            </w:r>
          </w:p>
        </w:tc>
        <w:tc>
          <w:tcPr>
            <w:tcW w:w="692" w:type="dxa"/>
            <w:shd w:val="clear" w:color="auto" w:fill="C0C0C0"/>
            <w:vAlign w:val="top"/>
          </w:tcPr>
          <w:p w14:paraId="141188B7">
            <w:pPr>
              <w:pStyle w:val="8"/>
              <w:spacing w:before="48" w:line="220" w:lineRule="auto"/>
              <w:ind w:left="139"/>
              <w:rPr>
                <w:color w:val="auto"/>
              </w:rPr>
            </w:pPr>
            <w:r>
              <w:rPr>
                <w:color w:val="auto"/>
                <w:spacing w:val="-7"/>
              </w:rPr>
              <w:t>公务</w:t>
            </w:r>
          </w:p>
          <w:p w14:paraId="0D0731A9">
            <w:pPr>
              <w:pStyle w:val="8"/>
              <w:spacing w:before="49" w:line="220" w:lineRule="auto"/>
              <w:ind w:left="133"/>
              <w:rPr>
                <w:color w:val="auto"/>
              </w:rPr>
            </w:pPr>
            <w:r>
              <w:rPr>
                <w:color w:val="auto"/>
                <w:spacing w:val="-5"/>
              </w:rPr>
              <w:t>用车</w:t>
            </w:r>
          </w:p>
          <w:p w14:paraId="4D572329">
            <w:pPr>
              <w:pStyle w:val="8"/>
              <w:spacing w:before="49" w:line="221" w:lineRule="auto"/>
              <w:ind w:left="132"/>
              <w:rPr>
                <w:color w:val="auto"/>
              </w:rPr>
            </w:pPr>
            <w:r>
              <w:rPr>
                <w:color w:val="auto"/>
                <w:spacing w:val="-4"/>
              </w:rPr>
              <w:t>运行</w:t>
            </w:r>
          </w:p>
          <w:p w14:paraId="1F5288A9">
            <w:pPr>
              <w:pStyle w:val="8"/>
              <w:spacing w:before="48" w:line="221" w:lineRule="auto"/>
              <w:ind w:left="135"/>
              <w:rPr>
                <w:color w:val="auto"/>
              </w:rPr>
            </w:pPr>
            <w:r>
              <w:rPr>
                <w:color w:val="auto"/>
                <w:spacing w:val="-6"/>
              </w:rPr>
              <w:t>维护</w:t>
            </w:r>
          </w:p>
          <w:p w14:paraId="16895FF6">
            <w:pPr>
              <w:pStyle w:val="8"/>
              <w:spacing w:before="49" w:line="215" w:lineRule="auto"/>
              <w:ind w:left="254"/>
              <w:rPr>
                <w:color w:val="auto"/>
              </w:rPr>
            </w:pPr>
            <w:r>
              <w:rPr>
                <w:color w:val="auto"/>
              </w:rPr>
              <w:t>费</w:t>
            </w:r>
          </w:p>
        </w:tc>
        <w:tc>
          <w:tcPr>
            <w:tcW w:w="692" w:type="dxa"/>
            <w:vMerge w:val="continue"/>
            <w:tcBorders>
              <w:top w:val="nil"/>
            </w:tcBorders>
            <w:vAlign w:val="top"/>
          </w:tcPr>
          <w:p w14:paraId="2A9771F7">
            <w:pPr>
              <w:rPr>
                <w:rFonts w:ascii="Arial"/>
                <w:color w:val="auto"/>
                <w:sz w:val="21"/>
              </w:rPr>
            </w:pPr>
          </w:p>
        </w:tc>
        <w:tc>
          <w:tcPr>
            <w:tcW w:w="692" w:type="dxa"/>
            <w:vMerge w:val="continue"/>
            <w:tcBorders>
              <w:top w:val="nil"/>
            </w:tcBorders>
            <w:vAlign w:val="top"/>
          </w:tcPr>
          <w:p w14:paraId="48A640D8">
            <w:pPr>
              <w:rPr>
                <w:rFonts w:ascii="Arial"/>
                <w:color w:val="auto"/>
                <w:sz w:val="21"/>
              </w:rPr>
            </w:pPr>
          </w:p>
        </w:tc>
        <w:tc>
          <w:tcPr>
            <w:tcW w:w="860" w:type="dxa"/>
            <w:vMerge w:val="continue"/>
            <w:tcBorders>
              <w:top w:val="nil"/>
            </w:tcBorders>
            <w:vAlign w:val="top"/>
          </w:tcPr>
          <w:p w14:paraId="699BBDCB">
            <w:pPr>
              <w:rPr>
                <w:rFonts w:ascii="Arial"/>
                <w:color w:val="auto"/>
                <w:sz w:val="21"/>
              </w:rPr>
            </w:pPr>
          </w:p>
        </w:tc>
        <w:tc>
          <w:tcPr>
            <w:tcW w:w="692" w:type="dxa"/>
            <w:shd w:val="clear" w:color="auto" w:fill="C0C0C0"/>
            <w:vAlign w:val="top"/>
          </w:tcPr>
          <w:p w14:paraId="4357BE0B">
            <w:pPr>
              <w:spacing w:line="298" w:lineRule="auto"/>
              <w:rPr>
                <w:rFonts w:ascii="Arial"/>
                <w:color w:val="auto"/>
                <w:sz w:val="21"/>
              </w:rPr>
            </w:pPr>
          </w:p>
          <w:p w14:paraId="2161AC44">
            <w:pPr>
              <w:spacing w:line="298" w:lineRule="auto"/>
              <w:rPr>
                <w:rFonts w:ascii="Arial"/>
                <w:color w:val="auto"/>
                <w:sz w:val="21"/>
              </w:rPr>
            </w:pPr>
          </w:p>
          <w:p w14:paraId="3EE11C27">
            <w:pPr>
              <w:pStyle w:val="8"/>
              <w:spacing w:before="72" w:line="222" w:lineRule="auto"/>
              <w:ind w:left="139"/>
              <w:rPr>
                <w:color w:val="auto"/>
              </w:rPr>
            </w:pPr>
            <w:r>
              <w:rPr>
                <w:color w:val="auto"/>
                <w:spacing w:val="-7"/>
              </w:rPr>
              <w:t>小计</w:t>
            </w:r>
          </w:p>
        </w:tc>
        <w:tc>
          <w:tcPr>
            <w:tcW w:w="692" w:type="dxa"/>
            <w:shd w:val="clear" w:color="auto" w:fill="C0C0C0"/>
            <w:vAlign w:val="top"/>
          </w:tcPr>
          <w:p w14:paraId="7BF48C64">
            <w:pPr>
              <w:pStyle w:val="8"/>
              <w:spacing w:before="204" w:line="220" w:lineRule="auto"/>
              <w:ind w:left="142"/>
              <w:rPr>
                <w:color w:val="auto"/>
              </w:rPr>
            </w:pPr>
            <w:r>
              <w:rPr>
                <w:color w:val="auto"/>
                <w:spacing w:val="-7"/>
              </w:rPr>
              <w:t>公务</w:t>
            </w:r>
          </w:p>
          <w:p w14:paraId="7ABE7AF4">
            <w:pPr>
              <w:pStyle w:val="8"/>
              <w:spacing w:before="49" w:line="220" w:lineRule="auto"/>
              <w:ind w:left="137"/>
              <w:rPr>
                <w:color w:val="auto"/>
              </w:rPr>
            </w:pPr>
            <w:r>
              <w:rPr>
                <w:color w:val="auto"/>
                <w:spacing w:val="-5"/>
              </w:rPr>
              <w:t>用车</w:t>
            </w:r>
          </w:p>
          <w:p w14:paraId="4F45A793">
            <w:pPr>
              <w:pStyle w:val="8"/>
              <w:spacing w:before="49" w:line="221" w:lineRule="auto"/>
              <w:ind w:left="133"/>
              <w:rPr>
                <w:color w:val="auto"/>
              </w:rPr>
            </w:pPr>
            <w:r>
              <w:rPr>
                <w:color w:val="auto"/>
                <w:spacing w:val="-3"/>
              </w:rPr>
              <w:t>购置</w:t>
            </w:r>
          </w:p>
          <w:p w14:paraId="0E96ECC8">
            <w:pPr>
              <w:pStyle w:val="8"/>
              <w:spacing w:before="48" w:line="221" w:lineRule="auto"/>
              <w:ind w:left="255"/>
              <w:rPr>
                <w:color w:val="auto"/>
              </w:rPr>
            </w:pPr>
            <w:r>
              <w:rPr>
                <w:color w:val="auto"/>
              </w:rPr>
              <w:t>费</w:t>
            </w:r>
          </w:p>
        </w:tc>
        <w:tc>
          <w:tcPr>
            <w:tcW w:w="692" w:type="dxa"/>
            <w:shd w:val="clear" w:color="auto" w:fill="C0C0C0"/>
            <w:vAlign w:val="top"/>
          </w:tcPr>
          <w:p w14:paraId="176AA2E3">
            <w:pPr>
              <w:pStyle w:val="8"/>
              <w:spacing w:before="48" w:line="220" w:lineRule="auto"/>
              <w:ind w:left="141"/>
              <w:rPr>
                <w:color w:val="auto"/>
              </w:rPr>
            </w:pPr>
            <w:r>
              <w:rPr>
                <w:color w:val="auto"/>
                <w:spacing w:val="-7"/>
              </w:rPr>
              <w:t>公务</w:t>
            </w:r>
          </w:p>
          <w:p w14:paraId="75E8CA8B">
            <w:pPr>
              <w:pStyle w:val="8"/>
              <w:spacing w:before="49" w:line="220" w:lineRule="auto"/>
              <w:ind w:left="136"/>
              <w:rPr>
                <w:color w:val="auto"/>
              </w:rPr>
            </w:pPr>
            <w:r>
              <w:rPr>
                <w:color w:val="auto"/>
                <w:spacing w:val="-5"/>
              </w:rPr>
              <w:t>用车</w:t>
            </w:r>
          </w:p>
          <w:p w14:paraId="7DA55481">
            <w:pPr>
              <w:pStyle w:val="8"/>
              <w:spacing w:before="49" w:line="221" w:lineRule="auto"/>
              <w:ind w:left="134"/>
              <w:rPr>
                <w:color w:val="auto"/>
              </w:rPr>
            </w:pPr>
            <w:r>
              <w:rPr>
                <w:color w:val="auto"/>
                <w:spacing w:val="-4"/>
              </w:rPr>
              <w:t>运行</w:t>
            </w:r>
          </w:p>
          <w:p w14:paraId="44AC2D61">
            <w:pPr>
              <w:pStyle w:val="8"/>
              <w:spacing w:before="48" w:line="221" w:lineRule="auto"/>
              <w:ind w:left="138"/>
              <w:rPr>
                <w:color w:val="auto"/>
              </w:rPr>
            </w:pPr>
            <w:r>
              <w:rPr>
                <w:color w:val="auto"/>
                <w:spacing w:val="-6"/>
              </w:rPr>
              <w:t>维护</w:t>
            </w:r>
          </w:p>
          <w:p w14:paraId="608A3C54">
            <w:pPr>
              <w:pStyle w:val="8"/>
              <w:spacing w:before="49" w:line="215" w:lineRule="auto"/>
              <w:ind w:left="257"/>
              <w:rPr>
                <w:color w:val="auto"/>
              </w:rPr>
            </w:pPr>
            <w:r>
              <w:rPr>
                <w:color w:val="auto"/>
              </w:rPr>
              <w:t>费</w:t>
            </w:r>
          </w:p>
        </w:tc>
        <w:tc>
          <w:tcPr>
            <w:tcW w:w="1035" w:type="dxa"/>
            <w:vMerge w:val="continue"/>
            <w:tcBorders>
              <w:top w:val="nil"/>
            </w:tcBorders>
            <w:vAlign w:val="top"/>
          </w:tcPr>
          <w:p w14:paraId="7DF90C88">
            <w:pPr>
              <w:rPr>
                <w:rFonts w:ascii="Arial"/>
                <w:color w:val="auto"/>
                <w:sz w:val="21"/>
              </w:rPr>
            </w:pPr>
          </w:p>
        </w:tc>
      </w:tr>
      <w:tr w14:paraId="79729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96" w:type="dxa"/>
            <w:shd w:val="clear" w:color="auto" w:fill="C0C0C0"/>
            <w:vAlign w:val="top"/>
          </w:tcPr>
          <w:p w14:paraId="3F1B68E4">
            <w:pPr>
              <w:pStyle w:val="8"/>
              <w:spacing w:before="96" w:line="184" w:lineRule="auto"/>
              <w:ind w:left="315"/>
              <w:rPr>
                <w:color w:val="auto"/>
              </w:rPr>
            </w:pPr>
            <w:r>
              <w:rPr>
                <w:color w:val="auto"/>
              </w:rPr>
              <w:t>1</w:t>
            </w:r>
          </w:p>
        </w:tc>
        <w:tc>
          <w:tcPr>
            <w:tcW w:w="777" w:type="dxa"/>
            <w:shd w:val="clear" w:color="auto" w:fill="C0C0C0"/>
            <w:vAlign w:val="top"/>
          </w:tcPr>
          <w:p w14:paraId="513F30AD">
            <w:pPr>
              <w:pStyle w:val="8"/>
              <w:spacing w:before="96" w:line="184" w:lineRule="auto"/>
              <w:ind w:left="339"/>
              <w:rPr>
                <w:color w:val="auto"/>
              </w:rPr>
            </w:pPr>
            <w:r>
              <w:rPr>
                <w:color w:val="auto"/>
              </w:rPr>
              <w:t>2</w:t>
            </w:r>
          </w:p>
        </w:tc>
        <w:tc>
          <w:tcPr>
            <w:tcW w:w="1929" w:type="dxa"/>
            <w:shd w:val="clear" w:color="auto" w:fill="C0C0C0"/>
            <w:vAlign w:val="top"/>
          </w:tcPr>
          <w:p w14:paraId="224ED7B7">
            <w:pPr>
              <w:pStyle w:val="8"/>
              <w:spacing w:before="96" w:line="184" w:lineRule="auto"/>
              <w:ind w:left="920"/>
              <w:rPr>
                <w:color w:val="auto"/>
              </w:rPr>
            </w:pPr>
            <w:r>
              <w:rPr>
                <w:color w:val="auto"/>
              </w:rPr>
              <w:t>3</w:t>
            </w:r>
          </w:p>
        </w:tc>
        <w:tc>
          <w:tcPr>
            <w:tcW w:w="1255" w:type="dxa"/>
            <w:shd w:val="clear" w:color="auto" w:fill="C0C0C0"/>
            <w:vAlign w:val="top"/>
          </w:tcPr>
          <w:p w14:paraId="721AC259">
            <w:pPr>
              <w:pStyle w:val="8"/>
              <w:spacing w:before="96" w:line="184" w:lineRule="auto"/>
              <w:ind w:left="577"/>
              <w:rPr>
                <w:color w:val="auto"/>
              </w:rPr>
            </w:pPr>
            <w:r>
              <w:rPr>
                <w:color w:val="auto"/>
              </w:rPr>
              <w:t>4</w:t>
            </w:r>
          </w:p>
        </w:tc>
        <w:tc>
          <w:tcPr>
            <w:tcW w:w="692" w:type="dxa"/>
            <w:shd w:val="clear" w:color="auto" w:fill="C0C0C0"/>
            <w:vAlign w:val="top"/>
          </w:tcPr>
          <w:p w14:paraId="361604EA">
            <w:pPr>
              <w:pStyle w:val="8"/>
              <w:spacing w:before="99" w:line="182" w:lineRule="auto"/>
              <w:ind w:left="302"/>
              <w:rPr>
                <w:color w:val="auto"/>
              </w:rPr>
            </w:pPr>
            <w:r>
              <w:rPr>
                <w:color w:val="auto"/>
              </w:rPr>
              <w:t>5</w:t>
            </w:r>
          </w:p>
        </w:tc>
        <w:tc>
          <w:tcPr>
            <w:tcW w:w="692" w:type="dxa"/>
            <w:shd w:val="clear" w:color="auto" w:fill="C0C0C0"/>
            <w:vAlign w:val="top"/>
          </w:tcPr>
          <w:p w14:paraId="23EFB54B">
            <w:pPr>
              <w:pStyle w:val="8"/>
              <w:spacing w:before="96" w:line="184" w:lineRule="auto"/>
              <w:ind w:left="301"/>
              <w:rPr>
                <w:color w:val="auto"/>
              </w:rPr>
            </w:pPr>
            <w:r>
              <w:rPr>
                <w:color w:val="auto"/>
              </w:rPr>
              <w:t>6</w:t>
            </w:r>
          </w:p>
        </w:tc>
        <w:tc>
          <w:tcPr>
            <w:tcW w:w="692" w:type="dxa"/>
            <w:shd w:val="clear" w:color="auto" w:fill="C0C0C0"/>
            <w:vAlign w:val="top"/>
          </w:tcPr>
          <w:p w14:paraId="61B27F66">
            <w:pPr>
              <w:pStyle w:val="8"/>
              <w:spacing w:before="99" w:line="182" w:lineRule="auto"/>
              <w:ind w:left="303"/>
              <w:rPr>
                <w:color w:val="auto"/>
              </w:rPr>
            </w:pPr>
            <w:r>
              <w:rPr>
                <w:color w:val="auto"/>
              </w:rPr>
              <w:t>7</w:t>
            </w:r>
          </w:p>
        </w:tc>
        <w:tc>
          <w:tcPr>
            <w:tcW w:w="860" w:type="dxa"/>
            <w:shd w:val="clear" w:color="auto" w:fill="C0C0C0"/>
            <w:vAlign w:val="top"/>
          </w:tcPr>
          <w:p w14:paraId="796B704F">
            <w:pPr>
              <w:pStyle w:val="8"/>
              <w:spacing w:before="96" w:line="184" w:lineRule="auto"/>
              <w:ind w:left="382"/>
              <w:rPr>
                <w:color w:val="auto"/>
              </w:rPr>
            </w:pPr>
            <w:r>
              <w:rPr>
                <w:color w:val="auto"/>
              </w:rPr>
              <w:t>8</w:t>
            </w:r>
          </w:p>
        </w:tc>
        <w:tc>
          <w:tcPr>
            <w:tcW w:w="692" w:type="dxa"/>
            <w:shd w:val="clear" w:color="auto" w:fill="C0C0C0"/>
            <w:vAlign w:val="top"/>
          </w:tcPr>
          <w:p w14:paraId="0A49CE1F">
            <w:pPr>
              <w:pStyle w:val="8"/>
              <w:spacing w:before="96" w:line="184" w:lineRule="auto"/>
              <w:ind w:left="300"/>
              <w:rPr>
                <w:color w:val="auto"/>
              </w:rPr>
            </w:pPr>
            <w:r>
              <w:rPr>
                <w:color w:val="auto"/>
              </w:rPr>
              <w:t>9</w:t>
            </w:r>
          </w:p>
        </w:tc>
        <w:tc>
          <w:tcPr>
            <w:tcW w:w="692" w:type="dxa"/>
            <w:shd w:val="clear" w:color="auto" w:fill="C0C0C0"/>
            <w:vAlign w:val="top"/>
          </w:tcPr>
          <w:p w14:paraId="48C16737">
            <w:pPr>
              <w:pStyle w:val="8"/>
              <w:spacing w:before="96" w:line="184" w:lineRule="auto"/>
              <w:ind w:left="259"/>
              <w:rPr>
                <w:color w:val="auto"/>
              </w:rPr>
            </w:pPr>
            <w:r>
              <w:rPr>
                <w:color w:val="auto"/>
                <w:spacing w:val="-13"/>
              </w:rPr>
              <w:t>10</w:t>
            </w:r>
          </w:p>
        </w:tc>
        <w:tc>
          <w:tcPr>
            <w:tcW w:w="692" w:type="dxa"/>
            <w:shd w:val="clear" w:color="auto" w:fill="C0C0C0"/>
            <w:vAlign w:val="top"/>
          </w:tcPr>
          <w:p w14:paraId="7B4B01B7">
            <w:pPr>
              <w:pStyle w:val="8"/>
              <w:spacing w:before="96" w:line="184" w:lineRule="auto"/>
              <w:ind w:left="261"/>
              <w:rPr>
                <w:color w:val="auto"/>
              </w:rPr>
            </w:pPr>
            <w:r>
              <w:rPr>
                <w:color w:val="auto"/>
                <w:spacing w:val="-13"/>
              </w:rPr>
              <w:t>11</w:t>
            </w:r>
          </w:p>
        </w:tc>
        <w:tc>
          <w:tcPr>
            <w:tcW w:w="1035" w:type="dxa"/>
            <w:shd w:val="clear" w:color="auto" w:fill="C0C0C0"/>
            <w:vAlign w:val="top"/>
          </w:tcPr>
          <w:p w14:paraId="6E77877E">
            <w:pPr>
              <w:pStyle w:val="8"/>
              <w:spacing w:before="96" w:line="184" w:lineRule="auto"/>
              <w:ind w:left="428"/>
              <w:rPr>
                <w:color w:val="auto"/>
              </w:rPr>
            </w:pPr>
            <w:r>
              <w:rPr>
                <w:color w:val="auto"/>
                <w:spacing w:val="-13"/>
              </w:rPr>
              <w:t>12</w:t>
            </w:r>
          </w:p>
        </w:tc>
      </w:tr>
      <w:tr w14:paraId="34A32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96" w:type="dxa"/>
            <w:vAlign w:val="center"/>
          </w:tcPr>
          <w:p w14:paraId="1C97D0B4">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0.28</w:t>
            </w:r>
          </w:p>
        </w:tc>
        <w:tc>
          <w:tcPr>
            <w:tcW w:w="777" w:type="dxa"/>
            <w:vAlign w:val="center"/>
          </w:tcPr>
          <w:p w14:paraId="440F25BC">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1929" w:type="dxa"/>
            <w:vAlign w:val="center"/>
          </w:tcPr>
          <w:p w14:paraId="4790C43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0.28</w:t>
            </w:r>
          </w:p>
        </w:tc>
        <w:tc>
          <w:tcPr>
            <w:tcW w:w="1255" w:type="dxa"/>
            <w:vAlign w:val="center"/>
          </w:tcPr>
          <w:p w14:paraId="3825F69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692" w:type="dxa"/>
            <w:vAlign w:val="center"/>
          </w:tcPr>
          <w:p w14:paraId="279C9C3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0.28</w:t>
            </w:r>
          </w:p>
        </w:tc>
        <w:tc>
          <w:tcPr>
            <w:tcW w:w="692" w:type="dxa"/>
            <w:vAlign w:val="center"/>
          </w:tcPr>
          <w:p w14:paraId="2897C61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692" w:type="dxa"/>
            <w:vAlign w:val="center"/>
          </w:tcPr>
          <w:p w14:paraId="4F5F888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0.28</w:t>
            </w:r>
          </w:p>
        </w:tc>
        <w:tc>
          <w:tcPr>
            <w:tcW w:w="860" w:type="dxa"/>
            <w:vAlign w:val="center"/>
          </w:tcPr>
          <w:p w14:paraId="7DCBC0B9">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692" w:type="dxa"/>
            <w:vAlign w:val="center"/>
          </w:tcPr>
          <w:p w14:paraId="53D1781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0.28</w:t>
            </w:r>
          </w:p>
        </w:tc>
        <w:tc>
          <w:tcPr>
            <w:tcW w:w="692" w:type="dxa"/>
            <w:vAlign w:val="center"/>
          </w:tcPr>
          <w:p w14:paraId="09A19DEE">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c>
          <w:tcPr>
            <w:tcW w:w="692" w:type="dxa"/>
            <w:vAlign w:val="center"/>
          </w:tcPr>
          <w:p w14:paraId="0A225DD1">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0.28</w:t>
            </w:r>
          </w:p>
        </w:tc>
        <w:tc>
          <w:tcPr>
            <w:tcW w:w="1035" w:type="dxa"/>
            <w:vAlign w:val="center"/>
          </w:tcPr>
          <w:p w14:paraId="32BE31B2">
            <w:pPr>
              <w:keepNext w:val="0"/>
              <w:keepLines w:val="0"/>
              <w:widowControl/>
              <w:suppressLineNumbers w:val="0"/>
              <w:jc w:val="right"/>
              <w:textAlignment w:val="center"/>
              <w:rPr>
                <w:color w:val="auto"/>
              </w:rPr>
            </w:pPr>
            <w:r>
              <w:rPr>
                <w:rFonts w:hint="eastAsia" w:ascii="宋体" w:hAnsi="宋体" w:eastAsia="宋体" w:cs="宋体"/>
                <w:i w:val="0"/>
                <w:iCs w:val="0"/>
                <w:snapToGrid w:val="0"/>
                <w:color w:val="000000"/>
                <w:kern w:val="0"/>
                <w:sz w:val="22"/>
                <w:szCs w:val="22"/>
                <w:u w:val="none"/>
                <w:lang w:val="en-US" w:eastAsia="zh-CN" w:bidi="ar"/>
              </w:rPr>
              <w:t>0.00</w:t>
            </w:r>
          </w:p>
        </w:tc>
      </w:tr>
    </w:tbl>
    <w:p w14:paraId="1A634FCD">
      <w:pPr>
        <w:spacing w:before="62" w:line="248" w:lineRule="auto"/>
        <w:ind w:left="167" w:right="86"/>
        <w:rPr>
          <w:rFonts w:ascii="宋体" w:hAnsi="宋体" w:eastAsia="宋体" w:cs="宋体"/>
          <w:color w:val="auto"/>
          <w:sz w:val="22"/>
          <w:szCs w:val="22"/>
        </w:rPr>
      </w:pPr>
      <w:r>
        <w:rPr>
          <w:rFonts w:ascii="宋体" w:hAnsi="宋体" w:eastAsia="宋体" w:cs="宋体"/>
          <w:color w:val="auto"/>
          <w:spacing w:val="-2"/>
          <w:sz w:val="22"/>
          <w:szCs w:val="22"/>
        </w:rPr>
        <w:t>注：本表反映部门本年度财政拨款“三公</w:t>
      </w:r>
      <w:r>
        <w:rPr>
          <w:rFonts w:ascii="宋体" w:hAnsi="宋体" w:eastAsia="宋体" w:cs="宋体"/>
          <w:color w:val="auto"/>
          <w:spacing w:val="-84"/>
          <w:sz w:val="22"/>
          <w:szCs w:val="22"/>
        </w:rPr>
        <w:t xml:space="preserve"> </w:t>
      </w:r>
      <w:r>
        <w:rPr>
          <w:rFonts w:ascii="宋体" w:hAnsi="宋体" w:eastAsia="宋体" w:cs="宋体"/>
          <w:color w:val="auto"/>
          <w:spacing w:val="-2"/>
          <w:sz w:val="22"/>
          <w:szCs w:val="22"/>
        </w:rPr>
        <w:t>”经费支出预决算情况。其中</w:t>
      </w:r>
      <w:r>
        <w:rPr>
          <w:rFonts w:ascii="宋体" w:hAnsi="宋体" w:eastAsia="宋体" w:cs="宋体"/>
          <w:color w:val="auto"/>
          <w:spacing w:val="-3"/>
          <w:sz w:val="22"/>
          <w:szCs w:val="22"/>
        </w:rPr>
        <w:t>，预算数为“三公</w:t>
      </w:r>
      <w:r>
        <w:rPr>
          <w:rFonts w:ascii="宋体" w:hAnsi="宋体" w:eastAsia="宋体" w:cs="宋体"/>
          <w:color w:val="auto"/>
          <w:spacing w:val="-83"/>
          <w:sz w:val="22"/>
          <w:szCs w:val="22"/>
        </w:rPr>
        <w:t xml:space="preserve"> </w:t>
      </w:r>
      <w:r>
        <w:rPr>
          <w:rFonts w:ascii="宋体" w:hAnsi="宋体" w:eastAsia="宋体" w:cs="宋体"/>
          <w:color w:val="auto"/>
          <w:spacing w:val="-3"/>
          <w:sz w:val="22"/>
          <w:szCs w:val="22"/>
        </w:rPr>
        <w:t>”经费全年预算数，</w:t>
      </w:r>
      <w:r>
        <w:rPr>
          <w:rFonts w:ascii="宋体" w:hAnsi="宋体" w:eastAsia="宋体" w:cs="宋体"/>
          <w:color w:val="auto"/>
          <w:sz w:val="22"/>
          <w:szCs w:val="22"/>
        </w:rPr>
        <w:t xml:space="preserve"> 反映按规定程序调整后的预算数；决算数是包括当年财政拨款和以前年度结转</w:t>
      </w:r>
      <w:r>
        <w:rPr>
          <w:rFonts w:ascii="宋体" w:hAnsi="宋体" w:eastAsia="宋体" w:cs="宋体"/>
          <w:color w:val="auto"/>
          <w:spacing w:val="-1"/>
          <w:sz w:val="22"/>
          <w:szCs w:val="22"/>
        </w:rPr>
        <w:t>资金安排的实际支出。</w:t>
      </w:r>
    </w:p>
    <w:p w14:paraId="47B88FAC">
      <w:pPr>
        <w:spacing w:line="338" w:lineRule="auto"/>
        <w:rPr>
          <w:rFonts w:ascii="Arial"/>
          <w:color w:val="auto"/>
          <w:sz w:val="21"/>
        </w:rPr>
      </w:pPr>
    </w:p>
    <w:p w14:paraId="0F7F3943">
      <w:pPr>
        <w:spacing w:line="338" w:lineRule="auto"/>
        <w:rPr>
          <w:rFonts w:ascii="Arial"/>
          <w:color w:val="auto"/>
          <w:sz w:val="21"/>
        </w:rPr>
      </w:pPr>
    </w:p>
    <w:p w14:paraId="73616E7A">
      <w:pPr>
        <w:pStyle w:val="2"/>
        <w:spacing w:before="100" w:line="226" w:lineRule="auto"/>
        <w:ind w:left="672"/>
        <w:rPr>
          <w:color w:val="auto"/>
          <w:spacing w:val="7"/>
        </w:rPr>
      </w:pPr>
    </w:p>
    <w:p w14:paraId="384CEC70">
      <w:pPr>
        <w:pStyle w:val="2"/>
        <w:spacing w:before="100" w:line="226" w:lineRule="auto"/>
        <w:ind w:left="672"/>
        <w:rPr>
          <w:color w:val="auto"/>
          <w:spacing w:val="7"/>
        </w:rPr>
      </w:pPr>
    </w:p>
    <w:p w14:paraId="4C2627C3">
      <w:pPr>
        <w:pStyle w:val="2"/>
        <w:spacing w:before="100" w:line="226" w:lineRule="auto"/>
        <w:ind w:left="672"/>
        <w:rPr>
          <w:color w:val="auto"/>
          <w:spacing w:val="7"/>
        </w:rPr>
      </w:pPr>
    </w:p>
    <w:p w14:paraId="78BBDBBB">
      <w:pPr>
        <w:pStyle w:val="2"/>
        <w:spacing w:before="100" w:line="226" w:lineRule="auto"/>
        <w:ind w:left="672"/>
        <w:rPr>
          <w:color w:val="auto"/>
          <w:spacing w:val="7"/>
        </w:rPr>
      </w:pPr>
    </w:p>
    <w:p w14:paraId="308B3002">
      <w:pPr>
        <w:pStyle w:val="2"/>
        <w:spacing w:before="100" w:line="226" w:lineRule="auto"/>
        <w:ind w:left="672"/>
        <w:rPr>
          <w:color w:val="auto"/>
          <w:spacing w:val="7"/>
        </w:rPr>
      </w:pPr>
    </w:p>
    <w:p w14:paraId="08027DAD">
      <w:pPr>
        <w:pStyle w:val="2"/>
        <w:spacing w:before="100" w:line="226" w:lineRule="auto"/>
        <w:ind w:left="672"/>
        <w:rPr>
          <w:color w:val="auto"/>
          <w:spacing w:val="7"/>
        </w:rPr>
      </w:pPr>
    </w:p>
    <w:p w14:paraId="1BFC61BA">
      <w:pPr>
        <w:pStyle w:val="2"/>
        <w:spacing w:before="100" w:line="226" w:lineRule="auto"/>
        <w:ind w:left="672"/>
        <w:rPr>
          <w:color w:val="auto"/>
          <w:spacing w:val="7"/>
        </w:rPr>
      </w:pPr>
    </w:p>
    <w:p w14:paraId="4D9690AF">
      <w:pPr>
        <w:pStyle w:val="2"/>
        <w:spacing w:before="100" w:line="226" w:lineRule="auto"/>
        <w:ind w:left="672"/>
        <w:rPr>
          <w:color w:val="auto"/>
          <w:spacing w:val="7"/>
        </w:rPr>
      </w:pPr>
    </w:p>
    <w:p w14:paraId="3BBCFDF7">
      <w:pPr>
        <w:pStyle w:val="2"/>
        <w:spacing w:before="100" w:line="226" w:lineRule="auto"/>
        <w:ind w:left="672"/>
        <w:rPr>
          <w:color w:val="auto"/>
          <w:spacing w:val="7"/>
        </w:rPr>
      </w:pPr>
    </w:p>
    <w:p w14:paraId="3599D593">
      <w:pPr>
        <w:pStyle w:val="2"/>
        <w:spacing w:before="100" w:line="226" w:lineRule="auto"/>
        <w:ind w:left="672"/>
        <w:rPr>
          <w:color w:val="auto"/>
          <w:spacing w:val="7"/>
        </w:rPr>
      </w:pPr>
    </w:p>
    <w:p w14:paraId="356D77D3">
      <w:pPr>
        <w:pStyle w:val="2"/>
        <w:spacing w:before="100" w:line="226" w:lineRule="auto"/>
        <w:ind w:left="672"/>
        <w:rPr>
          <w:color w:val="auto"/>
          <w:spacing w:val="7"/>
        </w:rPr>
      </w:pPr>
    </w:p>
    <w:p w14:paraId="60B26B97">
      <w:pPr>
        <w:pStyle w:val="2"/>
        <w:spacing w:before="100" w:line="226" w:lineRule="auto"/>
        <w:ind w:left="672"/>
        <w:rPr>
          <w:color w:val="auto"/>
          <w:spacing w:val="7"/>
        </w:rPr>
      </w:pPr>
    </w:p>
    <w:p w14:paraId="793078F9">
      <w:pPr>
        <w:pStyle w:val="2"/>
        <w:spacing w:before="100" w:line="226" w:lineRule="auto"/>
        <w:ind w:left="672"/>
        <w:rPr>
          <w:color w:val="auto"/>
          <w:spacing w:val="7"/>
        </w:rPr>
      </w:pPr>
    </w:p>
    <w:p w14:paraId="4096551F">
      <w:pPr>
        <w:pStyle w:val="2"/>
        <w:spacing w:before="100" w:line="226" w:lineRule="auto"/>
        <w:ind w:left="672"/>
        <w:rPr>
          <w:color w:val="auto"/>
          <w:spacing w:val="7"/>
        </w:rPr>
      </w:pPr>
    </w:p>
    <w:p w14:paraId="43770A02">
      <w:pPr>
        <w:pStyle w:val="2"/>
        <w:spacing w:before="100" w:line="226" w:lineRule="auto"/>
        <w:rPr>
          <w:color w:val="auto"/>
          <w:spacing w:val="7"/>
        </w:rPr>
      </w:pPr>
    </w:p>
    <w:p w14:paraId="234CBC05">
      <w:pPr>
        <w:pStyle w:val="2"/>
        <w:numPr>
          <w:ilvl w:val="0"/>
          <w:numId w:val="2"/>
        </w:numPr>
        <w:spacing w:before="100" w:line="226" w:lineRule="auto"/>
        <w:ind w:left="672"/>
        <w:rPr>
          <w:color w:val="auto"/>
        </w:rPr>
      </w:pPr>
      <w:r>
        <w:rPr>
          <w:color w:val="auto"/>
          <w:spacing w:val="7"/>
        </w:rPr>
        <w:t xml:space="preserve"> 202</w:t>
      </w:r>
      <w:r>
        <w:rPr>
          <w:rFonts w:hint="eastAsia"/>
          <w:color w:val="auto"/>
          <w:spacing w:val="7"/>
          <w:lang w:val="en-US" w:eastAsia="zh-CN"/>
        </w:rPr>
        <w:t>3</w:t>
      </w:r>
      <w:r>
        <w:rPr>
          <w:color w:val="auto"/>
          <w:spacing w:val="-61"/>
        </w:rPr>
        <w:t xml:space="preserve"> </w:t>
      </w:r>
      <w:r>
        <w:rPr>
          <w:color w:val="auto"/>
          <w:spacing w:val="7"/>
        </w:rPr>
        <w:t>年度部门决算情况说明</w:t>
      </w:r>
    </w:p>
    <w:p w14:paraId="1FA2D2BA">
      <w:pPr>
        <w:pStyle w:val="2"/>
        <w:numPr>
          <w:ilvl w:val="0"/>
          <w:numId w:val="0"/>
        </w:numPr>
        <w:spacing w:before="100" w:line="226" w:lineRule="auto"/>
        <w:ind w:firstLine="648" w:firstLineChars="200"/>
        <w:rPr>
          <w:color w:val="auto"/>
          <w:spacing w:val="7"/>
        </w:rPr>
      </w:pPr>
    </w:p>
    <w:p w14:paraId="5180F3BF">
      <w:pPr>
        <w:pStyle w:val="2"/>
        <w:numPr>
          <w:ilvl w:val="0"/>
          <w:numId w:val="0"/>
        </w:numPr>
        <w:spacing w:before="100" w:line="226" w:lineRule="auto"/>
        <w:ind w:firstLine="652" w:firstLineChars="200"/>
        <w:rPr>
          <w:color w:val="auto"/>
        </w:rPr>
      </w:pPr>
      <w:r>
        <w:rPr>
          <w:color w:val="auto"/>
          <w:spacing w:val="8"/>
        </w:rPr>
        <w:t>一、收入支出决算总体情况说明</w:t>
      </w:r>
    </w:p>
    <w:p w14:paraId="51A7F030">
      <w:pPr>
        <w:keepNext w:val="0"/>
        <w:keepLines w:val="0"/>
        <w:pageBreakBefore w:val="0"/>
        <w:widowControl/>
        <w:kinsoku w:val="0"/>
        <w:wordWrap/>
        <w:overflowPunct/>
        <w:topLinePunct w:val="0"/>
        <w:autoSpaceDE w:val="0"/>
        <w:autoSpaceDN w:val="0"/>
        <w:bidi w:val="0"/>
        <w:adjustRightInd w:val="0"/>
        <w:snapToGrid w:val="0"/>
        <w:spacing w:before="246" w:line="365" w:lineRule="auto"/>
        <w:ind w:right="0" w:firstLine="629"/>
        <w:jc w:val="left"/>
        <w:textAlignment w:val="baseline"/>
        <w:rPr>
          <w:rFonts w:ascii="仿宋" w:hAnsi="仿宋" w:eastAsia="仿宋" w:cs="仿宋"/>
          <w:color w:val="auto"/>
          <w:sz w:val="31"/>
          <w:szCs w:val="31"/>
        </w:rPr>
      </w:pPr>
      <w:r>
        <w:rPr>
          <w:rFonts w:hint="eastAsia" w:ascii="仿宋" w:hAnsi="仿宋" w:eastAsia="仿宋" w:cs="仿宋"/>
          <w:color w:val="auto"/>
          <w:spacing w:val="8"/>
          <w:sz w:val="31"/>
          <w:szCs w:val="31"/>
        </w:rPr>
        <w:t>202</w:t>
      </w:r>
      <w:r>
        <w:rPr>
          <w:rFonts w:hint="eastAsia" w:ascii="仿宋" w:hAnsi="仿宋" w:eastAsia="仿宋" w:cs="仿宋"/>
          <w:color w:val="auto"/>
          <w:spacing w:val="8"/>
          <w:sz w:val="31"/>
          <w:szCs w:val="31"/>
          <w:lang w:val="en-US" w:eastAsia="zh-CN"/>
        </w:rPr>
        <w:t>3</w:t>
      </w:r>
      <w:r>
        <w:rPr>
          <w:rFonts w:hint="eastAsia" w:ascii="仿宋" w:hAnsi="仿宋" w:eastAsia="仿宋" w:cs="仿宋"/>
          <w:color w:val="auto"/>
          <w:spacing w:val="8"/>
          <w:sz w:val="31"/>
          <w:szCs w:val="31"/>
        </w:rPr>
        <w:t>年度收、支总计均为</w:t>
      </w:r>
      <w:r>
        <w:rPr>
          <w:rFonts w:hint="eastAsia" w:ascii="仿宋" w:hAnsi="仿宋" w:eastAsia="仿宋" w:cs="仿宋"/>
          <w:color w:val="auto"/>
          <w:spacing w:val="1"/>
          <w:sz w:val="31"/>
          <w:szCs w:val="31"/>
          <w:lang w:val="en-US" w:eastAsia="zh-CN"/>
        </w:rPr>
        <w:t>2093.08</w:t>
      </w:r>
      <w:r>
        <w:rPr>
          <w:rFonts w:hint="eastAsia" w:ascii="仿宋" w:hAnsi="仿宋" w:eastAsia="仿宋" w:cs="仿宋"/>
          <w:color w:val="auto"/>
          <w:spacing w:val="8"/>
          <w:sz w:val="31"/>
          <w:szCs w:val="31"/>
        </w:rPr>
        <w:t>万元。与202</w:t>
      </w:r>
      <w:r>
        <w:rPr>
          <w:rFonts w:hint="eastAsia" w:ascii="仿宋" w:hAnsi="仿宋" w:eastAsia="仿宋" w:cs="仿宋"/>
          <w:color w:val="auto"/>
          <w:spacing w:val="8"/>
          <w:sz w:val="31"/>
          <w:szCs w:val="31"/>
          <w:lang w:val="en-US" w:eastAsia="zh-CN"/>
        </w:rPr>
        <w:t>2</w:t>
      </w:r>
      <w:r>
        <w:rPr>
          <w:rFonts w:hint="eastAsia" w:ascii="仿宋" w:hAnsi="仿宋" w:eastAsia="仿宋" w:cs="仿宋"/>
          <w:color w:val="auto"/>
          <w:spacing w:val="8"/>
          <w:sz w:val="31"/>
          <w:szCs w:val="31"/>
        </w:rPr>
        <w:t>年度相比，</w:t>
      </w:r>
      <w:r>
        <w:rPr>
          <w:rFonts w:hint="eastAsia" w:ascii="仿宋" w:hAnsi="仿宋" w:eastAsia="仿宋" w:cs="仿宋"/>
          <w:color w:val="auto"/>
          <w:spacing w:val="8"/>
          <w:sz w:val="31"/>
          <w:szCs w:val="31"/>
          <w:lang w:eastAsia="zh-CN"/>
        </w:rPr>
        <w:t>本年收入</w:t>
      </w:r>
      <w:r>
        <w:rPr>
          <w:rFonts w:ascii="仿宋" w:hAnsi="仿宋" w:eastAsia="仿宋" w:cs="仿宋"/>
          <w:color w:val="auto"/>
          <w:spacing w:val="1"/>
          <w:sz w:val="31"/>
          <w:szCs w:val="31"/>
        </w:rPr>
        <w:t>比上年决算</w:t>
      </w:r>
      <w:r>
        <w:rPr>
          <w:rFonts w:hint="eastAsia" w:ascii="仿宋" w:hAnsi="仿宋" w:eastAsia="仿宋" w:cs="仿宋"/>
          <w:color w:val="auto"/>
          <w:spacing w:val="1"/>
          <w:sz w:val="31"/>
          <w:szCs w:val="31"/>
          <w:lang w:val="en-US" w:eastAsia="zh-CN"/>
        </w:rPr>
        <w:t>增加466.3</w:t>
      </w:r>
      <w:r>
        <w:rPr>
          <w:rFonts w:ascii="仿宋" w:hAnsi="仿宋" w:eastAsia="仿宋" w:cs="仿宋"/>
          <w:color w:val="auto"/>
          <w:sz w:val="31"/>
          <w:szCs w:val="31"/>
        </w:rPr>
        <w:t>万元，</w:t>
      </w:r>
      <w:r>
        <w:rPr>
          <w:rFonts w:hint="eastAsia" w:ascii="仿宋" w:hAnsi="仿宋" w:eastAsia="仿宋" w:cs="仿宋"/>
          <w:color w:val="auto"/>
          <w:spacing w:val="1"/>
          <w:sz w:val="31"/>
          <w:szCs w:val="31"/>
          <w:lang w:val="en-US" w:eastAsia="zh-CN"/>
        </w:rPr>
        <w:t>增加</w:t>
      </w:r>
      <w:r>
        <w:rPr>
          <w:rFonts w:ascii="仿宋" w:hAnsi="仿宋" w:eastAsia="仿宋" w:cs="仿宋"/>
          <w:color w:val="auto"/>
          <w:spacing w:val="-56"/>
          <w:sz w:val="31"/>
          <w:szCs w:val="31"/>
        </w:rPr>
        <w:t xml:space="preserve"> </w:t>
      </w:r>
      <w:r>
        <w:rPr>
          <w:rFonts w:hint="eastAsia" w:ascii="仿宋" w:hAnsi="仿宋" w:eastAsia="仿宋" w:cs="仿宋"/>
          <w:color w:val="auto"/>
          <w:sz w:val="31"/>
          <w:szCs w:val="31"/>
          <w:lang w:val="en-US" w:eastAsia="zh-CN"/>
        </w:rPr>
        <w:t>47</w:t>
      </w:r>
      <w:r>
        <w:rPr>
          <w:rFonts w:ascii="仿宋" w:hAnsi="仿宋" w:eastAsia="仿宋" w:cs="仿宋"/>
          <w:color w:val="auto"/>
          <w:sz w:val="31"/>
          <w:szCs w:val="31"/>
        </w:rPr>
        <w:t>%，</w:t>
      </w:r>
      <w:r>
        <w:rPr>
          <w:rFonts w:ascii="仿宋" w:hAnsi="仿宋" w:eastAsia="仿宋" w:cs="仿宋"/>
          <w:color w:val="auto"/>
          <w:spacing w:val="5"/>
          <w:sz w:val="31"/>
          <w:szCs w:val="31"/>
        </w:rPr>
        <w:t>主要原因是</w:t>
      </w:r>
      <w:r>
        <w:rPr>
          <w:rFonts w:hint="eastAsia" w:ascii="仿宋" w:hAnsi="仿宋" w:eastAsia="仿宋" w:cs="仿宋"/>
          <w:color w:val="auto"/>
          <w:spacing w:val="5"/>
          <w:sz w:val="31"/>
          <w:szCs w:val="31"/>
          <w:lang w:eastAsia="zh-CN"/>
        </w:rPr>
        <w:t>本年</w:t>
      </w:r>
      <w:r>
        <w:rPr>
          <w:rFonts w:ascii="仿宋" w:hAnsi="仿宋" w:eastAsia="仿宋" w:cs="仿宋"/>
          <w:color w:val="auto"/>
          <w:spacing w:val="5"/>
          <w:sz w:val="31"/>
          <w:szCs w:val="31"/>
        </w:rPr>
        <w:t>项目</w:t>
      </w:r>
      <w:r>
        <w:rPr>
          <w:rFonts w:hint="eastAsia" w:ascii="仿宋" w:hAnsi="仿宋" w:eastAsia="仿宋" w:cs="仿宋"/>
          <w:color w:val="auto"/>
          <w:spacing w:val="5"/>
          <w:sz w:val="31"/>
          <w:szCs w:val="31"/>
          <w:lang w:val="en-US" w:eastAsia="zh-CN"/>
        </w:rPr>
        <w:t>增加</w:t>
      </w:r>
      <w:r>
        <w:rPr>
          <w:rFonts w:ascii="仿宋" w:hAnsi="仿宋" w:eastAsia="仿宋" w:cs="仿宋"/>
          <w:color w:val="auto"/>
          <w:spacing w:val="5"/>
          <w:sz w:val="31"/>
          <w:szCs w:val="31"/>
        </w:rPr>
        <w:t>。</w:t>
      </w:r>
      <w:r>
        <w:rPr>
          <w:rFonts w:hint="eastAsia" w:ascii="仿宋" w:hAnsi="仿宋" w:eastAsia="仿宋" w:cs="仿宋"/>
          <w:color w:val="auto"/>
          <w:spacing w:val="5"/>
          <w:sz w:val="31"/>
          <w:szCs w:val="31"/>
          <w:lang w:eastAsia="zh-CN"/>
        </w:rPr>
        <w:t>本年支出</w:t>
      </w:r>
      <w:r>
        <w:rPr>
          <w:rFonts w:ascii="仿宋" w:hAnsi="仿宋" w:eastAsia="仿宋" w:cs="仿宋"/>
          <w:color w:val="auto"/>
          <w:spacing w:val="1"/>
          <w:sz w:val="31"/>
          <w:szCs w:val="31"/>
        </w:rPr>
        <w:t>比上年决算</w:t>
      </w:r>
      <w:r>
        <w:rPr>
          <w:rFonts w:hint="eastAsia" w:ascii="仿宋" w:hAnsi="仿宋" w:eastAsia="仿宋" w:cs="仿宋"/>
          <w:color w:val="auto"/>
          <w:spacing w:val="1"/>
          <w:sz w:val="31"/>
          <w:szCs w:val="31"/>
          <w:lang w:val="en-US" w:eastAsia="zh-CN"/>
        </w:rPr>
        <w:t>增加</w:t>
      </w:r>
      <w:r>
        <w:rPr>
          <w:rFonts w:ascii="仿宋" w:hAnsi="仿宋" w:eastAsia="仿宋" w:cs="仿宋"/>
          <w:color w:val="auto"/>
          <w:spacing w:val="-63"/>
          <w:sz w:val="31"/>
          <w:szCs w:val="31"/>
        </w:rPr>
        <w:t xml:space="preserve"> </w:t>
      </w:r>
      <w:r>
        <w:rPr>
          <w:rFonts w:hint="eastAsia" w:ascii="仿宋" w:hAnsi="仿宋" w:eastAsia="仿宋" w:cs="仿宋"/>
          <w:color w:val="auto"/>
          <w:spacing w:val="1"/>
          <w:sz w:val="31"/>
          <w:szCs w:val="31"/>
          <w:lang w:val="en-US" w:eastAsia="zh-CN"/>
        </w:rPr>
        <w:t>320.24</w:t>
      </w:r>
      <w:r>
        <w:rPr>
          <w:rFonts w:ascii="仿宋" w:hAnsi="仿宋" w:eastAsia="仿宋" w:cs="仿宋"/>
          <w:color w:val="auto"/>
          <w:sz w:val="31"/>
          <w:szCs w:val="31"/>
        </w:rPr>
        <w:t>万元，</w:t>
      </w:r>
      <w:r>
        <w:rPr>
          <w:rFonts w:hint="eastAsia" w:ascii="仿宋" w:hAnsi="仿宋" w:eastAsia="仿宋" w:cs="仿宋"/>
          <w:color w:val="auto"/>
          <w:sz w:val="31"/>
          <w:szCs w:val="31"/>
          <w:lang w:val="en-US" w:eastAsia="zh-CN"/>
        </w:rPr>
        <w:t>增加</w:t>
      </w:r>
      <w:r>
        <w:rPr>
          <w:rFonts w:ascii="仿宋" w:hAnsi="仿宋" w:eastAsia="仿宋" w:cs="仿宋"/>
          <w:color w:val="auto"/>
          <w:sz w:val="31"/>
          <w:szCs w:val="31"/>
        </w:rPr>
        <w:t xml:space="preserve"> </w:t>
      </w:r>
      <w:r>
        <w:rPr>
          <w:rFonts w:hint="eastAsia" w:ascii="仿宋" w:hAnsi="仿宋" w:eastAsia="仿宋" w:cs="仿宋"/>
          <w:color w:val="auto"/>
          <w:sz w:val="31"/>
          <w:szCs w:val="31"/>
          <w:lang w:val="en-US" w:eastAsia="zh-CN"/>
        </w:rPr>
        <w:t>20</w:t>
      </w:r>
      <w:r>
        <w:rPr>
          <w:rFonts w:ascii="仿宋" w:hAnsi="仿宋" w:eastAsia="仿宋" w:cs="仿宋"/>
          <w:color w:val="auto"/>
          <w:sz w:val="31"/>
          <w:szCs w:val="31"/>
        </w:rPr>
        <w:t>%，</w:t>
      </w:r>
      <w:r>
        <w:rPr>
          <w:rFonts w:ascii="仿宋" w:hAnsi="仿宋" w:eastAsia="仿宋" w:cs="仿宋"/>
          <w:color w:val="auto"/>
          <w:spacing w:val="5"/>
          <w:sz w:val="31"/>
          <w:szCs w:val="31"/>
        </w:rPr>
        <w:t>主要原因是</w:t>
      </w:r>
      <w:r>
        <w:rPr>
          <w:rFonts w:hint="eastAsia" w:ascii="仿宋" w:hAnsi="仿宋" w:eastAsia="仿宋" w:cs="仿宋"/>
          <w:color w:val="auto"/>
          <w:spacing w:val="5"/>
          <w:sz w:val="31"/>
          <w:szCs w:val="31"/>
          <w:lang w:eastAsia="zh-CN"/>
        </w:rPr>
        <w:t>本年</w:t>
      </w:r>
      <w:r>
        <w:rPr>
          <w:rFonts w:ascii="仿宋" w:hAnsi="仿宋" w:eastAsia="仿宋" w:cs="仿宋"/>
          <w:color w:val="auto"/>
          <w:spacing w:val="5"/>
          <w:sz w:val="31"/>
          <w:szCs w:val="31"/>
        </w:rPr>
        <w:t>项目</w:t>
      </w:r>
      <w:r>
        <w:rPr>
          <w:rFonts w:hint="eastAsia" w:ascii="仿宋" w:hAnsi="仿宋" w:eastAsia="仿宋" w:cs="仿宋"/>
          <w:color w:val="auto"/>
          <w:spacing w:val="5"/>
          <w:sz w:val="31"/>
          <w:szCs w:val="31"/>
          <w:lang w:val="en-US" w:eastAsia="zh-CN"/>
        </w:rPr>
        <w:t>增加</w:t>
      </w:r>
      <w:r>
        <w:rPr>
          <w:rFonts w:ascii="仿宋" w:hAnsi="仿宋" w:eastAsia="仿宋" w:cs="仿宋"/>
          <w:color w:val="auto"/>
          <w:spacing w:val="5"/>
          <w:sz w:val="31"/>
          <w:szCs w:val="31"/>
        </w:rPr>
        <w:t>。</w:t>
      </w:r>
    </w:p>
    <w:p w14:paraId="79C5EE42">
      <w:pPr>
        <w:spacing w:before="134" w:line="222" w:lineRule="auto"/>
        <w:ind w:left="3137"/>
        <w:rPr>
          <w:rFonts w:ascii="仿宋" w:hAnsi="仿宋" w:eastAsia="仿宋" w:cs="仿宋"/>
          <w:color w:val="auto"/>
          <w:sz w:val="30"/>
          <w:szCs w:val="30"/>
        </w:rPr>
      </w:pPr>
      <w:r>
        <w:rPr>
          <w:rFonts w:ascii="仿宋" w:hAnsi="仿宋" w:eastAsia="仿宋" w:cs="仿宋"/>
          <w:color w:val="auto"/>
          <w:spacing w:val="-6"/>
          <w:sz w:val="30"/>
          <w:szCs w:val="30"/>
        </w:rPr>
        <w:t>图</w:t>
      </w:r>
      <w:r>
        <w:rPr>
          <w:rFonts w:ascii="仿宋" w:hAnsi="仿宋" w:eastAsia="仿宋" w:cs="仿宋"/>
          <w:color w:val="auto"/>
          <w:spacing w:val="-43"/>
          <w:sz w:val="30"/>
          <w:szCs w:val="30"/>
        </w:rPr>
        <w:t xml:space="preserve"> </w:t>
      </w:r>
      <w:r>
        <w:rPr>
          <w:rFonts w:ascii="仿宋" w:hAnsi="仿宋" w:eastAsia="仿宋" w:cs="仿宋"/>
          <w:color w:val="auto"/>
          <w:spacing w:val="-6"/>
          <w:sz w:val="30"/>
          <w:szCs w:val="30"/>
        </w:rPr>
        <w:t>1：收、支决算总计变动情况</w:t>
      </w:r>
    </w:p>
    <w:p w14:paraId="795C48D1">
      <w:pPr>
        <w:spacing w:line="299" w:lineRule="auto"/>
        <w:rPr>
          <w:rFonts w:ascii="Arial"/>
          <w:color w:val="auto"/>
          <w:sz w:val="21"/>
        </w:rPr>
      </w:pPr>
    </w:p>
    <w:p w14:paraId="271439D4">
      <w:pPr>
        <w:spacing w:line="300" w:lineRule="auto"/>
        <w:rPr>
          <w:rFonts w:ascii="Arial"/>
          <w:color w:val="auto"/>
          <w:sz w:val="21"/>
        </w:rPr>
      </w:pPr>
    </w:p>
    <w:p w14:paraId="48926F03">
      <w:pPr>
        <w:spacing w:line="4375" w:lineRule="exact"/>
        <w:ind w:firstLine="1222"/>
        <w:jc w:val="center"/>
        <w:rPr>
          <w:color w:val="auto"/>
        </w:rPr>
      </w:pPr>
      <w:r>
        <w:drawing>
          <wp:inline distT="0" distB="0" distL="114300" distR="114300">
            <wp:extent cx="4302125" cy="2172335"/>
            <wp:effectExtent l="5080" t="4445" r="1714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7CE734">
      <w:pPr>
        <w:spacing w:line="333" w:lineRule="auto"/>
        <w:rPr>
          <w:rFonts w:ascii="Arial"/>
          <w:color w:val="auto"/>
          <w:sz w:val="21"/>
        </w:rPr>
      </w:pPr>
    </w:p>
    <w:p w14:paraId="58701E39">
      <w:pPr>
        <w:spacing w:line="334" w:lineRule="auto"/>
        <w:rPr>
          <w:rFonts w:ascii="Arial"/>
          <w:color w:val="auto"/>
          <w:sz w:val="21"/>
        </w:rPr>
      </w:pPr>
    </w:p>
    <w:p w14:paraId="04471264">
      <w:pPr>
        <w:pStyle w:val="2"/>
        <w:spacing w:before="101" w:line="226" w:lineRule="auto"/>
        <w:ind w:left="643"/>
        <w:rPr>
          <w:color w:val="auto"/>
        </w:rPr>
      </w:pPr>
      <w:r>
        <w:rPr>
          <w:color w:val="auto"/>
          <w:spacing w:val="8"/>
        </w:rPr>
        <w:t>二、收入决算情况说明</w:t>
      </w:r>
    </w:p>
    <w:p w14:paraId="4CD8DFDC">
      <w:pPr>
        <w:spacing w:before="246" w:line="365" w:lineRule="auto"/>
        <w:ind w:left="6" w:firstLine="634"/>
        <w:rPr>
          <w:rFonts w:ascii="仿宋" w:hAnsi="仿宋" w:eastAsia="仿宋" w:cs="仿宋"/>
          <w:color w:val="auto"/>
          <w:sz w:val="31"/>
          <w:szCs w:val="31"/>
        </w:rPr>
      </w:pPr>
      <w:r>
        <w:rPr>
          <w:rFonts w:ascii="仿宋" w:hAnsi="仿宋" w:eastAsia="仿宋" w:cs="仿宋"/>
          <w:color w:val="auto"/>
          <w:sz w:val="31"/>
          <w:szCs w:val="31"/>
        </w:rPr>
        <w:t>202</w:t>
      </w:r>
      <w:r>
        <w:rPr>
          <w:rFonts w:hint="eastAsia" w:ascii="仿宋" w:hAnsi="仿宋" w:eastAsia="仿宋" w:cs="仿宋"/>
          <w:color w:val="auto"/>
          <w:sz w:val="31"/>
          <w:szCs w:val="31"/>
          <w:lang w:val="en-US" w:eastAsia="zh-CN"/>
        </w:rPr>
        <w:t>3</w:t>
      </w:r>
      <w:r>
        <w:rPr>
          <w:rFonts w:ascii="仿宋" w:hAnsi="仿宋" w:eastAsia="仿宋" w:cs="仿宋"/>
          <w:color w:val="auto"/>
          <w:spacing w:val="-31"/>
          <w:sz w:val="31"/>
          <w:szCs w:val="31"/>
        </w:rPr>
        <w:t xml:space="preserve"> </w:t>
      </w:r>
      <w:r>
        <w:rPr>
          <w:rFonts w:ascii="仿宋" w:hAnsi="仿宋" w:eastAsia="仿宋" w:cs="仿宋"/>
          <w:color w:val="auto"/>
          <w:sz w:val="31"/>
          <w:szCs w:val="31"/>
        </w:rPr>
        <w:t>年度收入合计</w:t>
      </w:r>
      <w:r>
        <w:rPr>
          <w:rFonts w:ascii="仿宋" w:hAnsi="仿宋" w:eastAsia="仿宋" w:cs="仿宋"/>
          <w:color w:val="auto"/>
          <w:spacing w:val="-41"/>
          <w:sz w:val="31"/>
          <w:szCs w:val="31"/>
        </w:rPr>
        <w:t xml:space="preserve"> </w:t>
      </w:r>
      <w:r>
        <w:rPr>
          <w:rFonts w:hint="eastAsia" w:ascii="仿宋" w:hAnsi="仿宋" w:eastAsia="仿宋" w:cs="仿宋"/>
          <w:color w:val="auto"/>
          <w:spacing w:val="1"/>
          <w:sz w:val="31"/>
          <w:szCs w:val="31"/>
          <w:lang w:val="en-US" w:eastAsia="zh-CN"/>
        </w:rPr>
        <w:t>2093.08</w:t>
      </w:r>
      <w:r>
        <w:rPr>
          <w:rFonts w:ascii="仿宋" w:hAnsi="仿宋" w:eastAsia="仿宋" w:cs="仿宋"/>
          <w:color w:val="auto"/>
          <w:spacing w:val="-51"/>
          <w:sz w:val="31"/>
          <w:szCs w:val="31"/>
        </w:rPr>
        <w:t xml:space="preserve"> </w:t>
      </w:r>
      <w:r>
        <w:rPr>
          <w:rFonts w:ascii="仿宋" w:hAnsi="仿宋" w:eastAsia="仿宋" w:cs="仿宋"/>
          <w:color w:val="auto"/>
          <w:sz w:val="31"/>
          <w:szCs w:val="31"/>
        </w:rPr>
        <w:t>万元，与</w:t>
      </w:r>
      <w:r>
        <w:rPr>
          <w:rFonts w:ascii="仿宋" w:hAnsi="仿宋" w:eastAsia="仿宋" w:cs="仿宋"/>
          <w:color w:val="auto"/>
          <w:spacing w:val="-60"/>
          <w:sz w:val="31"/>
          <w:szCs w:val="31"/>
        </w:rPr>
        <w:t xml:space="preserve"> </w:t>
      </w:r>
      <w:r>
        <w:rPr>
          <w:rFonts w:ascii="仿宋" w:hAnsi="仿宋" w:eastAsia="仿宋" w:cs="仿宋"/>
          <w:color w:val="auto"/>
          <w:sz w:val="31"/>
          <w:szCs w:val="31"/>
        </w:rPr>
        <w:t>202</w:t>
      </w:r>
      <w:r>
        <w:rPr>
          <w:rFonts w:hint="eastAsia" w:ascii="仿宋" w:hAnsi="仿宋" w:eastAsia="仿宋" w:cs="仿宋"/>
          <w:color w:val="auto"/>
          <w:sz w:val="31"/>
          <w:szCs w:val="31"/>
          <w:lang w:val="en-US" w:eastAsia="zh-CN"/>
        </w:rPr>
        <w:t>2</w:t>
      </w:r>
      <w:r>
        <w:rPr>
          <w:rFonts w:ascii="仿宋" w:hAnsi="仿宋" w:eastAsia="仿宋" w:cs="仿宋"/>
          <w:color w:val="auto"/>
          <w:spacing w:val="-47"/>
          <w:sz w:val="31"/>
          <w:szCs w:val="31"/>
        </w:rPr>
        <w:t xml:space="preserve"> </w:t>
      </w:r>
      <w:r>
        <w:rPr>
          <w:rFonts w:ascii="仿宋" w:hAnsi="仿宋" w:eastAsia="仿宋" w:cs="仿宋"/>
          <w:color w:val="auto"/>
          <w:sz w:val="31"/>
          <w:szCs w:val="31"/>
        </w:rPr>
        <w:t>年度相比，收入合计</w:t>
      </w:r>
      <w:r>
        <w:rPr>
          <w:rFonts w:hint="eastAsia" w:ascii="仿宋" w:hAnsi="仿宋" w:eastAsia="仿宋" w:cs="仿宋"/>
          <w:color w:val="auto"/>
          <w:spacing w:val="1"/>
          <w:sz w:val="31"/>
          <w:szCs w:val="31"/>
          <w:lang w:val="en-US" w:eastAsia="zh-CN"/>
        </w:rPr>
        <w:t>增加466.3万元</w:t>
      </w:r>
      <w:r>
        <w:rPr>
          <w:rFonts w:ascii="仿宋" w:hAnsi="仿宋" w:eastAsia="仿宋" w:cs="仿宋"/>
          <w:color w:val="auto"/>
          <w:spacing w:val="2"/>
          <w:sz w:val="31"/>
          <w:szCs w:val="31"/>
        </w:rPr>
        <w:t>，</w:t>
      </w:r>
      <w:r>
        <w:rPr>
          <w:rFonts w:hint="eastAsia" w:ascii="仿宋" w:hAnsi="仿宋" w:eastAsia="仿宋" w:cs="仿宋"/>
          <w:color w:val="auto"/>
          <w:spacing w:val="1"/>
          <w:sz w:val="31"/>
          <w:szCs w:val="31"/>
          <w:lang w:val="en-US" w:eastAsia="zh-CN"/>
        </w:rPr>
        <w:t>增加</w:t>
      </w:r>
      <w:r>
        <w:rPr>
          <w:rFonts w:ascii="仿宋" w:hAnsi="仿宋" w:eastAsia="仿宋" w:cs="仿宋"/>
          <w:color w:val="auto"/>
          <w:spacing w:val="-56"/>
          <w:sz w:val="31"/>
          <w:szCs w:val="31"/>
        </w:rPr>
        <w:t xml:space="preserve"> </w:t>
      </w:r>
      <w:r>
        <w:rPr>
          <w:rFonts w:hint="eastAsia" w:ascii="仿宋" w:hAnsi="仿宋" w:eastAsia="仿宋" w:cs="仿宋"/>
          <w:color w:val="auto"/>
          <w:sz w:val="31"/>
          <w:szCs w:val="31"/>
          <w:lang w:val="en-US" w:eastAsia="zh-CN"/>
        </w:rPr>
        <w:t>47</w:t>
      </w:r>
      <w:r>
        <w:rPr>
          <w:rFonts w:ascii="仿宋" w:hAnsi="仿宋" w:eastAsia="仿宋" w:cs="仿宋"/>
          <w:color w:val="auto"/>
          <w:sz w:val="31"/>
          <w:szCs w:val="31"/>
        </w:rPr>
        <w:t>%</w:t>
      </w:r>
      <w:r>
        <w:rPr>
          <w:rFonts w:ascii="仿宋" w:hAnsi="仿宋" w:eastAsia="仿宋" w:cs="仿宋"/>
          <w:color w:val="auto"/>
          <w:spacing w:val="2"/>
          <w:sz w:val="31"/>
          <w:szCs w:val="31"/>
        </w:rPr>
        <w:t>。其中：财政拨款</w:t>
      </w:r>
      <w:r>
        <w:rPr>
          <w:rFonts w:ascii="仿宋" w:hAnsi="仿宋" w:eastAsia="仿宋" w:cs="仿宋"/>
          <w:color w:val="auto"/>
          <w:spacing w:val="1"/>
          <w:sz w:val="31"/>
          <w:szCs w:val="31"/>
        </w:rPr>
        <w:t>收入</w:t>
      </w:r>
      <w:r>
        <w:rPr>
          <w:rFonts w:ascii="仿宋" w:hAnsi="仿宋" w:eastAsia="仿宋" w:cs="仿宋"/>
          <w:color w:val="auto"/>
          <w:spacing w:val="-61"/>
          <w:sz w:val="31"/>
          <w:szCs w:val="31"/>
        </w:rPr>
        <w:t xml:space="preserve"> </w:t>
      </w:r>
      <w:r>
        <w:rPr>
          <w:rFonts w:hint="eastAsia" w:ascii="仿宋" w:hAnsi="仿宋" w:eastAsia="仿宋" w:cs="仿宋"/>
          <w:color w:val="auto"/>
          <w:spacing w:val="1"/>
          <w:sz w:val="31"/>
          <w:szCs w:val="31"/>
          <w:lang w:val="en-US" w:eastAsia="zh-CN"/>
        </w:rPr>
        <w:t>797.56</w:t>
      </w:r>
      <w:r>
        <w:rPr>
          <w:rFonts w:ascii="仿宋" w:hAnsi="仿宋" w:eastAsia="仿宋" w:cs="仿宋"/>
          <w:color w:val="auto"/>
          <w:spacing w:val="1"/>
          <w:sz w:val="31"/>
          <w:szCs w:val="31"/>
        </w:rPr>
        <w:t>万元，占本年收</w:t>
      </w:r>
      <w:r>
        <w:rPr>
          <w:rFonts w:ascii="仿宋" w:hAnsi="仿宋" w:eastAsia="仿宋" w:cs="仿宋"/>
          <w:color w:val="auto"/>
          <w:spacing w:val="2"/>
          <w:sz w:val="31"/>
          <w:szCs w:val="31"/>
        </w:rPr>
        <w:t>入</w:t>
      </w:r>
      <w:r>
        <w:rPr>
          <w:rFonts w:ascii="仿宋" w:hAnsi="仿宋" w:eastAsia="仿宋" w:cs="仿宋"/>
          <w:color w:val="auto"/>
          <w:spacing w:val="-58"/>
          <w:sz w:val="31"/>
          <w:szCs w:val="31"/>
        </w:rPr>
        <w:t xml:space="preserve"> </w:t>
      </w:r>
      <w:r>
        <w:rPr>
          <w:rFonts w:hint="eastAsia" w:ascii="仿宋" w:hAnsi="仿宋" w:eastAsia="仿宋" w:cs="仿宋"/>
          <w:color w:val="auto"/>
          <w:spacing w:val="2"/>
          <w:sz w:val="31"/>
          <w:szCs w:val="31"/>
          <w:lang w:val="en-US" w:eastAsia="zh-CN"/>
        </w:rPr>
        <w:t>38</w:t>
      </w:r>
      <w:r>
        <w:rPr>
          <w:rFonts w:ascii="仿宋" w:hAnsi="仿宋" w:eastAsia="仿宋" w:cs="仿宋"/>
          <w:color w:val="auto"/>
          <w:spacing w:val="2"/>
          <w:sz w:val="31"/>
          <w:szCs w:val="31"/>
        </w:rPr>
        <w:t>%；上级补助收入 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万元，占本年收入</w:t>
      </w:r>
      <w:r>
        <w:rPr>
          <w:rFonts w:ascii="仿宋" w:hAnsi="仿宋" w:eastAsia="仿宋" w:cs="仿宋"/>
          <w:color w:val="auto"/>
          <w:spacing w:val="-60"/>
          <w:sz w:val="31"/>
          <w:szCs w:val="31"/>
        </w:rPr>
        <w:t xml:space="preserve"> </w:t>
      </w:r>
      <w:r>
        <w:rPr>
          <w:rFonts w:ascii="仿宋" w:hAnsi="仿宋" w:eastAsia="仿宋" w:cs="仿宋"/>
          <w:color w:val="auto"/>
          <w:spacing w:val="2"/>
          <w:sz w:val="31"/>
          <w:szCs w:val="31"/>
        </w:rPr>
        <w:t>0%；事业收入</w:t>
      </w:r>
      <w:r>
        <w:rPr>
          <w:rFonts w:ascii="仿宋" w:hAnsi="仿宋" w:eastAsia="仿宋" w:cs="仿宋"/>
          <w:color w:val="auto"/>
          <w:spacing w:val="-62"/>
          <w:sz w:val="31"/>
          <w:szCs w:val="31"/>
        </w:rPr>
        <w:t xml:space="preserve"> </w:t>
      </w:r>
      <w:r>
        <w:rPr>
          <w:rFonts w:ascii="仿宋" w:hAnsi="仿宋" w:eastAsia="仿宋" w:cs="仿宋"/>
          <w:color w:val="auto"/>
          <w:spacing w:val="2"/>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万元，占本</w:t>
      </w:r>
      <w:r>
        <w:rPr>
          <w:rFonts w:ascii="仿宋" w:hAnsi="仿宋" w:eastAsia="仿宋" w:cs="仿宋"/>
          <w:color w:val="auto"/>
          <w:sz w:val="31"/>
          <w:szCs w:val="31"/>
        </w:rPr>
        <w:t xml:space="preserve"> </w:t>
      </w:r>
      <w:r>
        <w:rPr>
          <w:rFonts w:ascii="仿宋" w:hAnsi="仿宋" w:eastAsia="仿宋" w:cs="仿宋"/>
          <w:color w:val="auto"/>
          <w:spacing w:val="7"/>
          <w:sz w:val="31"/>
          <w:szCs w:val="31"/>
        </w:rPr>
        <w:t>年收入0%；经营收入</w:t>
      </w:r>
      <w:r>
        <w:rPr>
          <w:rFonts w:ascii="仿宋" w:hAnsi="仿宋" w:eastAsia="仿宋" w:cs="仿宋"/>
          <w:color w:val="auto"/>
          <w:spacing w:val="-41"/>
          <w:sz w:val="31"/>
          <w:szCs w:val="31"/>
        </w:rPr>
        <w:t xml:space="preserve"> </w:t>
      </w:r>
      <w:r>
        <w:rPr>
          <w:rFonts w:ascii="仿宋" w:hAnsi="仿宋" w:eastAsia="仿宋" w:cs="仿宋"/>
          <w:color w:val="auto"/>
          <w:spacing w:val="7"/>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7"/>
          <w:sz w:val="31"/>
          <w:szCs w:val="31"/>
        </w:rPr>
        <w:t>万元，</w:t>
      </w:r>
      <w:r>
        <w:rPr>
          <w:rFonts w:ascii="仿宋" w:hAnsi="仿宋" w:eastAsia="仿宋" w:cs="仿宋"/>
          <w:color w:val="auto"/>
          <w:spacing w:val="-82"/>
          <w:sz w:val="31"/>
          <w:szCs w:val="31"/>
        </w:rPr>
        <w:t xml:space="preserve"> </w:t>
      </w:r>
      <w:r>
        <w:rPr>
          <w:rFonts w:ascii="仿宋" w:hAnsi="仿宋" w:eastAsia="仿宋" w:cs="仿宋"/>
          <w:color w:val="auto"/>
          <w:spacing w:val="7"/>
          <w:sz w:val="31"/>
          <w:szCs w:val="31"/>
        </w:rPr>
        <w:t>占本年收入0%；附属单位上缴收入</w:t>
      </w:r>
      <w:r>
        <w:rPr>
          <w:rFonts w:ascii="仿宋" w:hAnsi="仿宋" w:eastAsia="仿宋" w:cs="仿宋"/>
          <w:color w:val="auto"/>
          <w:spacing w:val="-60"/>
          <w:sz w:val="31"/>
          <w:szCs w:val="31"/>
        </w:rPr>
        <w:t xml:space="preserve"> </w:t>
      </w:r>
      <w:r>
        <w:rPr>
          <w:rFonts w:ascii="仿宋" w:hAnsi="仿宋" w:eastAsia="仿宋" w:cs="仿宋"/>
          <w:color w:val="auto"/>
          <w:spacing w:val="7"/>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7"/>
          <w:sz w:val="31"/>
          <w:szCs w:val="31"/>
        </w:rPr>
        <w:t>万</w:t>
      </w:r>
      <w:r>
        <w:rPr>
          <w:rFonts w:ascii="仿宋" w:hAnsi="仿宋" w:eastAsia="仿宋" w:cs="仿宋"/>
          <w:color w:val="auto"/>
          <w:sz w:val="31"/>
          <w:szCs w:val="31"/>
        </w:rPr>
        <w:t xml:space="preserve"> </w:t>
      </w:r>
      <w:r>
        <w:rPr>
          <w:rFonts w:ascii="仿宋" w:hAnsi="仿宋" w:eastAsia="仿宋" w:cs="仿宋"/>
          <w:color w:val="auto"/>
          <w:spacing w:val="-1"/>
          <w:sz w:val="31"/>
          <w:szCs w:val="31"/>
        </w:rPr>
        <w:t>元，</w:t>
      </w:r>
      <w:r>
        <w:rPr>
          <w:rFonts w:ascii="仿宋" w:hAnsi="仿宋" w:eastAsia="仿宋" w:cs="仿宋"/>
          <w:color w:val="auto"/>
          <w:spacing w:val="-57"/>
          <w:sz w:val="31"/>
          <w:szCs w:val="31"/>
        </w:rPr>
        <w:t xml:space="preserve"> </w:t>
      </w:r>
      <w:r>
        <w:rPr>
          <w:rFonts w:ascii="仿宋" w:hAnsi="仿宋" w:eastAsia="仿宋" w:cs="仿宋"/>
          <w:color w:val="auto"/>
          <w:spacing w:val="-1"/>
          <w:sz w:val="31"/>
          <w:szCs w:val="31"/>
        </w:rPr>
        <w:t>占本年收入</w:t>
      </w:r>
      <w:r>
        <w:rPr>
          <w:rFonts w:ascii="仿宋" w:hAnsi="仿宋" w:eastAsia="仿宋" w:cs="仿宋"/>
          <w:color w:val="auto"/>
          <w:spacing w:val="-59"/>
          <w:sz w:val="31"/>
          <w:szCs w:val="31"/>
        </w:rPr>
        <w:t xml:space="preserve"> </w:t>
      </w:r>
      <w:r>
        <w:rPr>
          <w:rFonts w:ascii="仿宋" w:hAnsi="仿宋" w:eastAsia="仿宋" w:cs="仿宋"/>
          <w:color w:val="auto"/>
          <w:spacing w:val="-1"/>
          <w:sz w:val="31"/>
          <w:szCs w:val="31"/>
        </w:rPr>
        <w:t>0%；其他收入</w:t>
      </w:r>
      <w:r>
        <w:rPr>
          <w:rFonts w:hint="eastAsia" w:ascii="仿宋" w:hAnsi="仿宋" w:eastAsia="仿宋" w:cs="仿宋"/>
          <w:color w:val="auto"/>
          <w:spacing w:val="-38"/>
          <w:sz w:val="31"/>
          <w:szCs w:val="31"/>
          <w:lang w:val="en-US" w:eastAsia="zh-CN"/>
        </w:rPr>
        <w:t>1</w:t>
      </w:r>
      <w:r>
        <w:rPr>
          <w:rFonts w:hint="eastAsia" w:ascii="仿宋" w:hAnsi="仿宋" w:eastAsia="仿宋" w:cs="仿宋"/>
          <w:color w:val="auto"/>
          <w:spacing w:val="1"/>
          <w:sz w:val="31"/>
          <w:szCs w:val="31"/>
          <w:lang w:val="en-US" w:eastAsia="zh-CN"/>
        </w:rPr>
        <w:t>295.52</w:t>
      </w:r>
      <w:r>
        <w:rPr>
          <w:rFonts w:ascii="仿宋" w:hAnsi="仿宋" w:eastAsia="仿宋" w:cs="仿宋"/>
          <w:color w:val="auto"/>
          <w:spacing w:val="-1"/>
          <w:sz w:val="31"/>
          <w:szCs w:val="31"/>
        </w:rPr>
        <w:t>万元，</w:t>
      </w:r>
      <w:r>
        <w:rPr>
          <w:rFonts w:ascii="仿宋" w:hAnsi="仿宋" w:eastAsia="仿宋" w:cs="仿宋"/>
          <w:color w:val="auto"/>
          <w:spacing w:val="-73"/>
          <w:sz w:val="31"/>
          <w:szCs w:val="31"/>
        </w:rPr>
        <w:t xml:space="preserve"> </w:t>
      </w:r>
      <w:r>
        <w:rPr>
          <w:rFonts w:ascii="仿宋" w:hAnsi="仿宋" w:eastAsia="仿宋" w:cs="仿宋"/>
          <w:color w:val="auto"/>
          <w:spacing w:val="-1"/>
          <w:sz w:val="31"/>
          <w:szCs w:val="31"/>
        </w:rPr>
        <w:t>占本年收入</w:t>
      </w:r>
      <w:r>
        <w:rPr>
          <w:rFonts w:ascii="仿宋" w:hAnsi="仿宋" w:eastAsia="仿宋" w:cs="仿宋"/>
          <w:color w:val="auto"/>
          <w:spacing w:val="-60"/>
          <w:sz w:val="31"/>
          <w:szCs w:val="31"/>
        </w:rPr>
        <w:t xml:space="preserve"> </w:t>
      </w:r>
      <w:r>
        <w:rPr>
          <w:rFonts w:hint="eastAsia" w:ascii="仿宋" w:hAnsi="仿宋" w:eastAsia="仿宋" w:cs="仿宋"/>
          <w:color w:val="auto"/>
          <w:spacing w:val="-1"/>
          <w:sz w:val="31"/>
          <w:szCs w:val="31"/>
          <w:lang w:val="en-US" w:eastAsia="zh-CN"/>
        </w:rPr>
        <w:t>62</w:t>
      </w:r>
      <w:r>
        <w:rPr>
          <w:rFonts w:ascii="仿宋" w:hAnsi="仿宋" w:eastAsia="仿宋" w:cs="仿宋"/>
          <w:color w:val="auto"/>
          <w:spacing w:val="-1"/>
          <w:sz w:val="31"/>
          <w:szCs w:val="31"/>
        </w:rPr>
        <w:t>%。</w:t>
      </w:r>
    </w:p>
    <w:p w14:paraId="26FEDF06">
      <w:pPr>
        <w:spacing w:before="62" w:line="222" w:lineRule="auto"/>
        <w:ind w:left="3586"/>
        <w:rPr>
          <w:color w:val="auto"/>
        </w:rPr>
      </w:pPr>
      <w:r>
        <w:rPr>
          <w:rFonts w:ascii="仿宋" w:hAnsi="仿宋" w:eastAsia="仿宋" w:cs="仿宋"/>
          <w:color w:val="auto"/>
          <w:spacing w:val="-7"/>
          <w:sz w:val="30"/>
          <w:szCs w:val="30"/>
        </w:rPr>
        <w:t>图</w:t>
      </w:r>
      <w:r>
        <w:rPr>
          <w:rFonts w:ascii="仿宋" w:hAnsi="仿宋" w:eastAsia="仿宋" w:cs="仿宋"/>
          <w:color w:val="auto"/>
          <w:spacing w:val="-62"/>
          <w:sz w:val="30"/>
          <w:szCs w:val="30"/>
        </w:rPr>
        <w:t xml:space="preserve"> </w:t>
      </w:r>
      <w:r>
        <w:rPr>
          <w:rFonts w:ascii="仿宋" w:hAnsi="仿宋" w:eastAsia="仿宋" w:cs="仿宋"/>
          <w:color w:val="auto"/>
          <w:spacing w:val="-7"/>
          <w:sz w:val="30"/>
          <w:szCs w:val="30"/>
        </w:rPr>
        <w:t>2：收入决算结构</w:t>
      </w:r>
    </w:p>
    <w:p w14:paraId="78552288">
      <w:pPr>
        <w:spacing w:line="273" w:lineRule="auto"/>
        <w:rPr>
          <w:rFonts w:ascii="Arial"/>
          <w:color w:val="auto"/>
          <w:sz w:val="21"/>
        </w:rPr>
      </w:pPr>
    </w:p>
    <w:p w14:paraId="6142BC92">
      <w:pPr>
        <w:spacing w:line="274" w:lineRule="auto"/>
        <w:rPr>
          <w:rFonts w:ascii="Arial"/>
          <w:color w:val="auto"/>
          <w:sz w:val="21"/>
        </w:rPr>
      </w:pPr>
    </w:p>
    <w:p w14:paraId="1D07C99B">
      <w:pPr>
        <w:spacing w:line="274" w:lineRule="auto"/>
        <w:jc w:val="center"/>
        <w:rPr>
          <w:rFonts w:ascii="Arial"/>
          <w:color w:val="auto"/>
          <w:sz w:val="21"/>
        </w:rPr>
      </w:pPr>
      <w:r>
        <w:drawing>
          <wp:inline distT="0" distB="0" distL="114300" distR="114300">
            <wp:extent cx="4826000" cy="3495040"/>
            <wp:effectExtent l="4445" t="4445" r="8255" b="62865"/>
            <wp:docPr id="5" name="图表 4"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A7E66A">
      <w:pPr>
        <w:spacing w:line="274" w:lineRule="auto"/>
        <w:rPr>
          <w:rFonts w:ascii="Arial"/>
          <w:color w:val="auto"/>
          <w:sz w:val="21"/>
        </w:rPr>
      </w:pPr>
    </w:p>
    <w:p w14:paraId="3A8C217E">
      <w:pPr>
        <w:spacing w:line="274" w:lineRule="auto"/>
        <w:rPr>
          <w:rFonts w:ascii="Arial"/>
          <w:color w:val="auto"/>
          <w:sz w:val="21"/>
        </w:rPr>
      </w:pPr>
    </w:p>
    <w:p w14:paraId="7FE93BA8">
      <w:pPr>
        <w:pStyle w:val="2"/>
        <w:spacing w:before="101" w:line="226" w:lineRule="auto"/>
        <w:ind w:left="638"/>
        <w:rPr>
          <w:color w:val="auto"/>
        </w:rPr>
      </w:pPr>
      <w:r>
        <w:rPr>
          <w:color w:val="auto"/>
          <w:spacing w:val="8"/>
        </w:rPr>
        <w:t>三、支出决算情况说明</w:t>
      </w:r>
    </w:p>
    <w:p w14:paraId="55877F7D">
      <w:pPr>
        <w:spacing w:before="245" w:line="365" w:lineRule="auto"/>
        <w:ind w:firstLine="634"/>
        <w:rPr>
          <w:rFonts w:ascii="仿宋" w:hAnsi="仿宋" w:eastAsia="仿宋" w:cs="仿宋"/>
          <w:color w:val="auto"/>
          <w:sz w:val="31"/>
          <w:szCs w:val="31"/>
        </w:rPr>
      </w:pPr>
      <w:r>
        <w:rPr>
          <w:rFonts w:ascii="仿宋" w:hAnsi="仿宋" w:eastAsia="仿宋" w:cs="仿宋"/>
          <w:color w:val="auto"/>
          <w:sz w:val="31"/>
          <w:szCs w:val="31"/>
        </w:rPr>
        <w:t>202</w:t>
      </w:r>
      <w:r>
        <w:rPr>
          <w:rFonts w:hint="eastAsia" w:ascii="仿宋" w:hAnsi="仿宋" w:eastAsia="仿宋" w:cs="仿宋"/>
          <w:color w:val="auto"/>
          <w:sz w:val="31"/>
          <w:szCs w:val="31"/>
          <w:lang w:val="en-US" w:eastAsia="zh-CN"/>
        </w:rPr>
        <w:t>3</w:t>
      </w:r>
      <w:r>
        <w:rPr>
          <w:rFonts w:ascii="仿宋" w:hAnsi="仿宋" w:eastAsia="仿宋" w:cs="仿宋"/>
          <w:color w:val="auto"/>
          <w:sz w:val="31"/>
          <w:szCs w:val="31"/>
        </w:rPr>
        <w:t>年度支出合计</w:t>
      </w:r>
      <w:r>
        <w:rPr>
          <w:rFonts w:ascii="仿宋" w:hAnsi="仿宋" w:eastAsia="仿宋" w:cs="仿宋"/>
          <w:color w:val="auto"/>
          <w:spacing w:val="-39"/>
          <w:sz w:val="31"/>
          <w:szCs w:val="31"/>
        </w:rPr>
        <w:t xml:space="preserve"> </w:t>
      </w:r>
      <w:r>
        <w:rPr>
          <w:rFonts w:hint="eastAsia" w:ascii="仿宋" w:hAnsi="仿宋" w:eastAsia="仿宋" w:cs="仿宋"/>
          <w:color w:val="auto"/>
          <w:sz w:val="31"/>
          <w:szCs w:val="31"/>
          <w:lang w:val="en-US" w:eastAsia="zh-CN"/>
        </w:rPr>
        <w:t>2093.08</w:t>
      </w:r>
      <w:r>
        <w:rPr>
          <w:rFonts w:ascii="仿宋" w:hAnsi="仿宋" w:eastAsia="仿宋" w:cs="仿宋"/>
          <w:color w:val="auto"/>
          <w:sz w:val="31"/>
          <w:szCs w:val="31"/>
        </w:rPr>
        <w:t>万元，与</w:t>
      </w:r>
      <w:r>
        <w:rPr>
          <w:rFonts w:ascii="仿宋" w:hAnsi="仿宋" w:eastAsia="仿宋" w:cs="仿宋"/>
          <w:color w:val="auto"/>
          <w:spacing w:val="-60"/>
          <w:sz w:val="31"/>
          <w:szCs w:val="31"/>
        </w:rPr>
        <w:t xml:space="preserve"> </w:t>
      </w:r>
      <w:r>
        <w:rPr>
          <w:rFonts w:ascii="仿宋" w:hAnsi="仿宋" w:eastAsia="仿宋" w:cs="仿宋"/>
          <w:color w:val="auto"/>
          <w:sz w:val="31"/>
          <w:szCs w:val="31"/>
        </w:rPr>
        <w:t>202</w:t>
      </w:r>
      <w:r>
        <w:rPr>
          <w:rFonts w:hint="eastAsia" w:ascii="仿宋" w:hAnsi="仿宋" w:eastAsia="仿宋" w:cs="仿宋"/>
          <w:color w:val="auto"/>
          <w:sz w:val="31"/>
          <w:szCs w:val="31"/>
          <w:lang w:val="en-US" w:eastAsia="zh-CN"/>
        </w:rPr>
        <w:t>2</w:t>
      </w:r>
      <w:r>
        <w:rPr>
          <w:rFonts w:ascii="仿宋" w:hAnsi="仿宋" w:eastAsia="仿宋" w:cs="仿宋"/>
          <w:color w:val="auto"/>
          <w:sz w:val="31"/>
          <w:szCs w:val="31"/>
        </w:rPr>
        <w:t>年度相比，支出合计</w:t>
      </w:r>
      <w:r>
        <w:rPr>
          <w:rFonts w:hint="eastAsia" w:ascii="仿宋" w:hAnsi="仿宋" w:eastAsia="仿宋" w:cs="仿宋"/>
          <w:color w:val="auto"/>
          <w:spacing w:val="1"/>
          <w:sz w:val="31"/>
          <w:szCs w:val="31"/>
          <w:lang w:val="en-US" w:eastAsia="zh-CN"/>
        </w:rPr>
        <w:t>增加466.3万元</w:t>
      </w:r>
      <w:r>
        <w:rPr>
          <w:rFonts w:ascii="仿宋" w:hAnsi="仿宋" w:eastAsia="仿宋" w:cs="仿宋"/>
          <w:color w:val="auto"/>
          <w:spacing w:val="1"/>
          <w:sz w:val="31"/>
          <w:szCs w:val="31"/>
        </w:rPr>
        <w:t>，</w:t>
      </w:r>
      <w:r>
        <w:rPr>
          <w:rFonts w:hint="eastAsia" w:ascii="仿宋" w:hAnsi="仿宋" w:eastAsia="仿宋" w:cs="仿宋"/>
          <w:color w:val="auto"/>
          <w:spacing w:val="1"/>
          <w:sz w:val="31"/>
          <w:szCs w:val="31"/>
          <w:lang w:val="en-US" w:eastAsia="zh-CN"/>
        </w:rPr>
        <w:t>上升</w:t>
      </w:r>
      <w:r>
        <w:rPr>
          <w:rFonts w:ascii="仿宋" w:hAnsi="仿宋" w:eastAsia="仿宋" w:cs="仿宋"/>
          <w:color w:val="auto"/>
          <w:spacing w:val="-58"/>
          <w:sz w:val="31"/>
          <w:szCs w:val="31"/>
        </w:rPr>
        <w:t xml:space="preserve"> </w:t>
      </w:r>
      <w:r>
        <w:rPr>
          <w:rFonts w:hint="eastAsia" w:ascii="仿宋" w:hAnsi="仿宋" w:eastAsia="仿宋" w:cs="仿宋"/>
          <w:color w:val="auto"/>
          <w:spacing w:val="1"/>
          <w:sz w:val="31"/>
          <w:szCs w:val="31"/>
          <w:lang w:val="en-US" w:eastAsia="zh-CN"/>
        </w:rPr>
        <w:t>47</w:t>
      </w:r>
      <w:r>
        <w:rPr>
          <w:rFonts w:ascii="仿宋" w:hAnsi="仿宋" w:eastAsia="仿宋" w:cs="仿宋"/>
          <w:color w:val="auto"/>
          <w:spacing w:val="-74"/>
          <w:sz w:val="31"/>
          <w:szCs w:val="31"/>
        </w:rPr>
        <w:t xml:space="preserve"> </w:t>
      </w:r>
      <w:r>
        <w:rPr>
          <w:rFonts w:ascii="仿宋" w:hAnsi="仿宋" w:eastAsia="仿宋" w:cs="仿宋"/>
          <w:color w:val="auto"/>
          <w:spacing w:val="1"/>
          <w:sz w:val="31"/>
          <w:szCs w:val="31"/>
        </w:rPr>
        <w:t>%。其中：基本支出</w:t>
      </w:r>
      <w:r>
        <w:rPr>
          <w:rFonts w:ascii="仿宋" w:hAnsi="仿宋" w:eastAsia="仿宋" w:cs="仿宋"/>
          <w:color w:val="auto"/>
          <w:spacing w:val="-41"/>
          <w:sz w:val="31"/>
          <w:szCs w:val="31"/>
        </w:rPr>
        <w:t xml:space="preserve"> </w:t>
      </w:r>
      <w:r>
        <w:rPr>
          <w:rFonts w:hint="eastAsia" w:ascii="仿宋" w:hAnsi="仿宋" w:eastAsia="仿宋" w:cs="仿宋"/>
          <w:color w:val="auto"/>
          <w:spacing w:val="1"/>
          <w:sz w:val="31"/>
          <w:szCs w:val="31"/>
          <w:lang w:val="en-US" w:eastAsia="zh-CN"/>
        </w:rPr>
        <w:t>1580.50</w:t>
      </w:r>
      <w:r>
        <w:rPr>
          <w:rFonts w:ascii="仿宋" w:hAnsi="仿宋" w:eastAsia="仿宋" w:cs="仿宋"/>
          <w:color w:val="auto"/>
          <w:spacing w:val="1"/>
          <w:sz w:val="31"/>
          <w:szCs w:val="31"/>
        </w:rPr>
        <w:t>万元，占本年支</w:t>
      </w:r>
      <w:r>
        <w:rPr>
          <w:rFonts w:ascii="仿宋" w:hAnsi="仿宋" w:eastAsia="仿宋" w:cs="仿宋"/>
          <w:color w:val="auto"/>
          <w:spacing w:val="2"/>
          <w:sz w:val="31"/>
          <w:szCs w:val="31"/>
        </w:rPr>
        <w:t>出 76%；项目支出</w:t>
      </w:r>
      <w:r>
        <w:rPr>
          <w:rFonts w:ascii="仿宋" w:hAnsi="仿宋" w:eastAsia="仿宋" w:cs="仿宋"/>
          <w:color w:val="auto"/>
          <w:spacing w:val="-50"/>
          <w:sz w:val="31"/>
          <w:szCs w:val="31"/>
        </w:rPr>
        <w:t xml:space="preserve"> </w:t>
      </w:r>
      <w:r>
        <w:rPr>
          <w:rFonts w:hint="eastAsia" w:ascii="仿宋" w:hAnsi="仿宋" w:eastAsia="仿宋" w:cs="仿宋"/>
          <w:color w:val="auto"/>
          <w:spacing w:val="2"/>
          <w:sz w:val="31"/>
          <w:szCs w:val="31"/>
          <w:lang w:val="en-US" w:eastAsia="zh-CN"/>
        </w:rPr>
        <w:t>512.59</w:t>
      </w:r>
      <w:r>
        <w:rPr>
          <w:rFonts w:ascii="仿宋" w:hAnsi="仿宋" w:eastAsia="仿宋" w:cs="仿宋"/>
          <w:color w:val="auto"/>
          <w:spacing w:val="2"/>
          <w:sz w:val="31"/>
          <w:szCs w:val="31"/>
        </w:rPr>
        <w:t>万元，</w:t>
      </w:r>
      <w:r>
        <w:rPr>
          <w:rFonts w:ascii="仿宋" w:hAnsi="仿宋" w:eastAsia="仿宋" w:cs="仿宋"/>
          <w:color w:val="auto"/>
          <w:spacing w:val="-79"/>
          <w:sz w:val="31"/>
          <w:szCs w:val="31"/>
        </w:rPr>
        <w:t xml:space="preserve"> </w:t>
      </w:r>
      <w:r>
        <w:rPr>
          <w:rFonts w:ascii="仿宋" w:hAnsi="仿宋" w:eastAsia="仿宋" w:cs="仿宋"/>
          <w:color w:val="auto"/>
          <w:spacing w:val="2"/>
          <w:sz w:val="31"/>
          <w:szCs w:val="31"/>
        </w:rPr>
        <w:t>占本年支出</w:t>
      </w:r>
      <w:r>
        <w:rPr>
          <w:rFonts w:ascii="仿宋" w:hAnsi="仿宋" w:eastAsia="仿宋" w:cs="仿宋"/>
          <w:color w:val="auto"/>
          <w:spacing w:val="-59"/>
          <w:sz w:val="31"/>
          <w:szCs w:val="31"/>
        </w:rPr>
        <w:t xml:space="preserve"> </w:t>
      </w:r>
      <w:r>
        <w:rPr>
          <w:rFonts w:ascii="仿宋" w:hAnsi="仿宋" w:eastAsia="仿宋" w:cs="仿宋"/>
          <w:color w:val="auto"/>
          <w:spacing w:val="2"/>
          <w:sz w:val="31"/>
          <w:szCs w:val="31"/>
        </w:rPr>
        <w:t>24%；上缴上级支出 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w:t>
      </w:r>
      <w:r>
        <w:rPr>
          <w:rFonts w:ascii="仿宋" w:hAnsi="仿宋" w:eastAsia="仿宋" w:cs="仿宋"/>
          <w:color w:val="auto"/>
          <w:sz w:val="31"/>
          <w:szCs w:val="31"/>
        </w:rPr>
        <w:t xml:space="preserve"> </w:t>
      </w:r>
      <w:r>
        <w:rPr>
          <w:rFonts w:ascii="仿宋" w:hAnsi="仿宋" w:eastAsia="仿宋" w:cs="仿宋"/>
          <w:color w:val="auto"/>
          <w:spacing w:val="3"/>
          <w:sz w:val="31"/>
          <w:szCs w:val="31"/>
        </w:rPr>
        <w:t>元，占本年支出</w:t>
      </w:r>
      <w:r>
        <w:rPr>
          <w:rFonts w:ascii="仿宋" w:hAnsi="仿宋" w:eastAsia="仿宋" w:cs="仿宋"/>
          <w:color w:val="auto"/>
          <w:spacing w:val="-60"/>
          <w:sz w:val="31"/>
          <w:szCs w:val="31"/>
        </w:rPr>
        <w:t xml:space="preserve"> </w:t>
      </w:r>
      <w:r>
        <w:rPr>
          <w:rFonts w:ascii="仿宋" w:hAnsi="仿宋" w:eastAsia="仿宋" w:cs="仿宋"/>
          <w:color w:val="auto"/>
          <w:spacing w:val="3"/>
          <w:sz w:val="31"/>
          <w:szCs w:val="31"/>
        </w:rPr>
        <w:t>0%；经营支出 0</w:t>
      </w:r>
      <w:r>
        <w:rPr>
          <w:rFonts w:ascii="仿宋" w:hAnsi="仿宋" w:eastAsia="仿宋" w:cs="仿宋"/>
          <w:color w:val="auto"/>
          <w:spacing w:val="-50"/>
          <w:sz w:val="31"/>
          <w:szCs w:val="31"/>
        </w:rPr>
        <w:t xml:space="preserve"> </w:t>
      </w:r>
      <w:r>
        <w:rPr>
          <w:rFonts w:ascii="仿宋" w:hAnsi="仿宋" w:eastAsia="仿宋" w:cs="仿宋"/>
          <w:color w:val="auto"/>
          <w:spacing w:val="3"/>
          <w:sz w:val="31"/>
          <w:szCs w:val="31"/>
        </w:rPr>
        <w:t>万元，</w:t>
      </w:r>
      <w:r>
        <w:rPr>
          <w:rFonts w:ascii="仿宋" w:hAnsi="仿宋" w:eastAsia="仿宋" w:cs="仿宋"/>
          <w:color w:val="auto"/>
          <w:spacing w:val="-71"/>
          <w:sz w:val="31"/>
          <w:szCs w:val="31"/>
        </w:rPr>
        <w:t xml:space="preserve"> </w:t>
      </w:r>
      <w:r>
        <w:rPr>
          <w:rFonts w:ascii="仿宋" w:hAnsi="仿宋" w:eastAsia="仿宋" w:cs="仿宋"/>
          <w:color w:val="auto"/>
          <w:spacing w:val="3"/>
          <w:sz w:val="31"/>
          <w:szCs w:val="31"/>
        </w:rPr>
        <w:t>占本年支出</w:t>
      </w:r>
      <w:r>
        <w:rPr>
          <w:rFonts w:ascii="仿宋" w:hAnsi="仿宋" w:eastAsia="仿宋" w:cs="仿宋"/>
          <w:color w:val="auto"/>
          <w:spacing w:val="-57"/>
          <w:sz w:val="31"/>
          <w:szCs w:val="31"/>
        </w:rPr>
        <w:t xml:space="preserve"> </w:t>
      </w:r>
      <w:r>
        <w:rPr>
          <w:rFonts w:ascii="仿宋" w:hAnsi="仿宋" w:eastAsia="仿宋" w:cs="仿宋"/>
          <w:color w:val="auto"/>
          <w:spacing w:val="3"/>
          <w:sz w:val="31"/>
          <w:szCs w:val="31"/>
        </w:rPr>
        <w:t xml:space="preserve">0 </w:t>
      </w:r>
      <w:r>
        <w:rPr>
          <w:rFonts w:ascii="仿宋" w:hAnsi="仿宋" w:eastAsia="仿宋" w:cs="仿宋"/>
          <w:color w:val="auto"/>
          <w:spacing w:val="2"/>
          <w:sz w:val="31"/>
          <w:szCs w:val="31"/>
        </w:rPr>
        <w:t>%；对附属单位</w:t>
      </w:r>
      <w:r>
        <w:rPr>
          <w:rFonts w:ascii="仿宋" w:hAnsi="仿宋" w:eastAsia="仿宋" w:cs="仿宋"/>
          <w:color w:val="auto"/>
          <w:sz w:val="31"/>
          <w:szCs w:val="31"/>
        </w:rPr>
        <w:t xml:space="preserve"> </w:t>
      </w:r>
      <w:r>
        <w:rPr>
          <w:rFonts w:ascii="仿宋" w:hAnsi="仿宋" w:eastAsia="仿宋" w:cs="仿宋"/>
          <w:color w:val="auto"/>
          <w:spacing w:val="-1"/>
          <w:sz w:val="31"/>
          <w:szCs w:val="31"/>
        </w:rPr>
        <w:t>补助支出</w:t>
      </w:r>
      <w:r>
        <w:rPr>
          <w:rFonts w:ascii="仿宋" w:hAnsi="仿宋" w:eastAsia="仿宋" w:cs="仿宋"/>
          <w:color w:val="auto"/>
          <w:spacing w:val="-47"/>
          <w:sz w:val="31"/>
          <w:szCs w:val="31"/>
        </w:rPr>
        <w:t xml:space="preserve"> </w:t>
      </w:r>
      <w:r>
        <w:rPr>
          <w:rFonts w:ascii="仿宋" w:hAnsi="仿宋" w:eastAsia="仿宋" w:cs="仿宋"/>
          <w:color w:val="auto"/>
          <w:spacing w:val="-1"/>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1"/>
          <w:sz w:val="31"/>
          <w:szCs w:val="31"/>
        </w:rPr>
        <w:t>万元，</w:t>
      </w:r>
      <w:r>
        <w:rPr>
          <w:rFonts w:ascii="仿宋" w:hAnsi="仿宋" w:eastAsia="仿宋" w:cs="仿宋"/>
          <w:color w:val="auto"/>
          <w:spacing w:val="-72"/>
          <w:sz w:val="31"/>
          <w:szCs w:val="31"/>
        </w:rPr>
        <w:t xml:space="preserve"> </w:t>
      </w:r>
      <w:r>
        <w:rPr>
          <w:rFonts w:ascii="仿宋" w:hAnsi="仿宋" w:eastAsia="仿宋" w:cs="仿宋"/>
          <w:color w:val="auto"/>
          <w:spacing w:val="-1"/>
          <w:sz w:val="31"/>
          <w:szCs w:val="31"/>
        </w:rPr>
        <w:t>占本年支出 0%。</w:t>
      </w:r>
    </w:p>
    <w:p w14:paraId="1D20C9E5">
      <w:pPr>
        <w:spacing w:before="62" w:line="222" w:lineRule="auto"/>
        <w:ind w:left="3580"/>
        <w:rPr>
          <w:rFonts w:ascii="仿宋" w:hAnsi="仿宋" w:eastAsia="仿宋" w:cs="仿宋"/>
          <w:color w:val="auto"/>
          <w:spacing w:val="-8"/>
          <w:sz w:val="30"/>
          <w:szCs w:val="30"/>
        </w:rPr>
      </w:pPr>
      <w:r>
        <w:rPr>
          <w:rFonts w:ascii="仿宋" w:hAnsi="仿宋" w:eastAsia="仿宋" w:cs="仿宋"/>
          <w:color w:val="auto"/>
          <w:spacing w:val="-8"/>
          <w:sz w:val="30"/>
          <w:szCs w:val="30"/>
        </w:rPr>
        <w:t>图</w:t>
      </w:r>
      <w:r>
        <w:rPr>
          <w:rFonts w:ascii="仿宋" w:hAnsi="仿宋" w:eastAsia="仿宋" w:cs="仿宋"/>
          <w:color w:val="auto"/>
          <w:spacing w:val="-53"/>
          <w:sz w:val="30"/>
          <w:szCs w:val="30"/>
        </w:rPr>
        <w:t xml:space="preserve"> </w:t>
      </w:r>
      <w:r>
        <w:rPr>
          <w:rFonts w:ascii="仿宋" w:hAnsi="仿宋" w:eastAsia="仿宋" w:cs="仿宋"/>
          <w:color w:val="auto"/>
          <w:spacing w:val="-8"/>
          <w:sz w:val="30"/>
          <w:szCs w:val="30"/>
        </w:rPr>
        <w:t>3：支出决算结构</w:t>
      </w:r>
    </w:p>
    <w:p w14:paraId="74F7D3C1">
      <w:pPr>
        <w:spacing w:before="62" w:line="222" w:lineRule="auto"/>
        <w:ind w:left="200" w:leftChars="0" w:firstLine="0" w:firstLineChars="0"/>
        <w:jc w:val="center"/>
        <w:rPr>
          <w:color w:val="auto"/>
        </w:rPr>
      </w:pPr>
      <w:r>
        <w:drawing>
          <wp:inline distT="0" distB="0" distL="114300" distR="114300">
            <wp:extent cx="752475" cy="2095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752475" cy="209550"/>
                    </a:xfrm>
                    <a:prstGeom prst="rect">
                      <a:avLst/>
                    </a:prstGeom>
                    <a:noFill/>
                    <a:ln>
                      <a:noFill/>
                    </a:ln>
                  </pic:spPr>
                </pic:pic>
              </a:graphicData>
            </a:graphic>
          </wp:inline>
        </w:drawing>
      </w:r>
      <w:r>
        <w:rPr>
          <w:rFonts w:hint="eastAsia" w:ascii="仿宋" w:hAnsi="仿宋" w:eastAsia="宋体" w:cs="仿宋"/>
          <w:color w:val="auto"/>
          <w:sz w:val="30"/>
          <w:szCs w:val="30"/>
          <w:lang w:eastAsia="zh-CN"/>
        </w:rPr>
        <w:drawing>
          <wp:inline distT="0" distB="0" distL="114300" distR="114300">
            <wp:extent cx="3688715" cy="2117090"/>
            <wp:effectExtent l="0" t="0" r="6985" b="16510"/>
            <wp:docPr id="4" name="图片 4" descr="决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副本"/>
                    <pic:cNvPicPr>
                      <a:picLocks noChangeAspect="1"/>
                    </pic:cNvPicPr>
                  </pic:nvPicPr>
                  <pic:blipFill>
                    <a:blip r:embed="rId20"/>
                    <a:stretch>
                      <a:fillRect/>
                    </a:stretch>
                  </pic:blipFill>
                  <pic:spPr>
                    <a:xfrm>
                      <a:off x="0" y="0"/>
                      <a:ext cx="3688715" cy="2117090"/>
                    </a:xfrm>
                    <a:prstGeom prst="rect">
                      <a:avLst/>
                    </a:prstGeom>
                  </pic:spPr>
                </pic:pic>
              </a:graphicData>
            </a:graphic>
          </wp:inline>
        </w:drawing>
      </w:r>
    </w:p>
    <w:p w14:paraId="11FF005A">
      <w:pPr>
        <w:spacing w:line="5054" w:lineRule="exact"/>
        <w:rPr>
          <w:color w:val="auto"/>
        </w:rPr>
        <w:sectPr>
          <w:footerReference r:id="rId11" w:type="default"/>
          <w:pgSz w:w="11906" w:h="16839"/>
          <w:pgMar w:top="644" w:right="1442" w:bottom="1156" w:left="757" w:header="0" w:footer="994" w:gutter="0"/>
          <w:pgBorders>
            <w:top w:val="none" w:sz="0" w:space="0"/>
            <w:left w:val="none" w:sz="0" w:space="0"/>
            <w:bottom w:val="none" w:sz="0" w:space="0"/>
            <w:right w:val="none" w:sz="0" w:space="0"/>
          </w:pgBorders>
          <w:cols w:space="720" w:num="1"/>
        </w:sectPr>
      </w:pPr>
    </w:p>
    <w:p w14:paraId="59CB7419">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65" w:line="344" w:lineRule="auto"/>
        <w:ind w:left="651"/>
        <w:textAlignment w:val="baseline"/>
        <w:rPr>
          <w:color w:val="auto"/>
          <w:spacing w:val="8"/>
          <w:u w:val="none"/>
        </w:rPr>
      </w:pPr>
      <w:r>
        <w:rPr>
          <w:color w:val="auto"/>
          <w:spacing w:val="8"/>
        </w:rPr>
        <w:t>财政拨款收入</w:t>
      </w:r>
      <w:r>
        <w:rPr>
          <w:color w:val="auto"/>
          <w:spacing w:val="8"/>
          <w:u w:val="none"/>
        </w:rPr>
        <w:t>支出决算总体情况说明</w:t>
      </w:r>
    </w:p>
    <w:p w14:paraId="7D9C6F87">
      <w:pPr>
        <w:keepNext w:val="0"/>
        <w:keepLines w:val="0"/>
        <w:pageBreakBefore w:val="0"/>
        <w:widowControl/>
        <w:kinsoku w:val="0"/>
        <w:wordWrap/>
        <w:overflowPunct/>
        <w:topLinePunct w:val="0"/>
        <w:autoSpaceDE w:val="0"/>
        <w:autoSpaceDN w:val="0"/>
        <w:bidi w:val="0"/>
        <w:adjustRightInd w:val="0"/>
        <w:snapToGrid w:val="0"/>
        <w:spacing w:line="344" w:lineRule="auto"/>
        <w:ind w:firstLine="452" w:firstLineChars="200"/>
        <w:textAlignment w:val="baseline"/>
        <w:rPr>
          <w:rFonts w:hint="eastAsia" w:ascii="仿宋" w:hAnsi="仿宋" w:eastAsia="仿宋" w:cs="仿宋"/>
          <w:bCs/>
          <w:color w:val="auto"/>
          <w:sz w:val="32"/>
          <w:szCs w:val="32"/>
          <w:highlight w:val="none"/>
          <w:u w:val="none"/>
          <w:lang w:val="en-US" w:eastAsia="zh-CN"/>
        </w:rPr>
      </w:pPr>
      <w:r>
        <w:rPr>
          <w:rFonts w:hint="eastAsia"/>
          <w:color w:val="auto"/>
          <w:spacing w:val="8"/>
          <w:highlight w:val="none"/>
          <w:u w:val="none"/>
          <w:lang w:val="en-US" w:eastAsia="zh-CN"/>
        </w:rPr>
        <w:t xml:space="preserve">    </w:t>
      </w:r>
      <w:r>
        <w:rPr>
          <w:rFonts w:hint="eastAsia" w:ascii="仿宋" w:hAnsi="仿宋" w:eastAsia="仿宋" w:cs="仿宋"/>
          <w:color w:val="auto"/>
          <w:sz w:val="32"/>
          <w:szCs w:val="32"/>
          <w:highlight w:val="none"/>
          <w:u w:val="none"/>
          <w:lang w:eastAsia="zh-CN"/>
        </w:rPr>
        <w:t>202</w:t>
      </w: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lang w:eastAsia="zh-CN"/>
        </w:rPr>
        <w:t>年</w:t>
      </w:r>
      <w:r>
        <w:rPr>
          <w:rFonts w:hint="eastAsia" w:ascii="仿宋" w:hAnsi="仿宋" w:eastAsia="仿宋" w:cs="仿宋"/>
          <w:color w:val="auto"/>
          <w:sz w:val="32"/>
          <w:szCs w:val="32"/>
          <w:highlight w:val="none"/>
          <w:u w:val="none"/>
        </w:rPr>
        <w:t>度财政拨款收、支总计</w:t>
      </w:r>
      <w:r>
        <w:rPr>
          <w:rFonts w:hint="eastAsia" w:ascii="仿宋" w:hAnsi="仿宋" w:eastAsia="仿宋" w:cs="仿宋"/>
          <w:color w:val="auto"/>
          <w:sz w:val="32"/>
          <w:szCs w:val="32"/>
          <w:highlight w:val="none"/>
          <w:u w:val="none"/>
          <w:lang w:val="en-US" w:eastAsia="zh-CN"/>
        </w:rPr>
        <w:t>均为797.56</w:t>
      </w:r>
      <w:r>
        <w:rPr>
          <w:rFonts w:hint="eastAsia" w:ascii="仿宋" w:hAnsi="仿宋" w:eastAsia="仿宋" w:cs="仿宋"/>
          <w:color w:val="auto"/>
          <w:sz w:val="32"/>
          <w:szCs w:val="32"/>
          <w:highlight w:val="none"/>
          <w:u w:val="none"/>
        </w:rPr>
        <w:t>万元</w:t>
      </w:r>
      <w:r>
        <w:rPr>
          <w:rFonts w:hint="eastAsia" w:ascii="仿宋" w:hAnsi="仿宋" w:eastAsia="仿宋" w:cs="仿宋"/>
          <w:bCs/>
          <w:color w:val="auto"/>
          <w:sz w:val="32"/>
          <w:szCs w:val="32"/>
          <w:highlight w:val="none"/>
          <w:u w:val="none"/>
          <w:lang w:val="en-US" w:eastAsia="zh-CN"/>
        </w:rPr>
        <w:t>。</w:t>
      </w:r>
    </w:p>
    <w:p w14:paraId="7DBD11B2">
      <w:pPr>
        <w:spacing w:before="52" w:line="356" w:lineRule="auto"/>
        <w:ind w:right="111" w:firstLine="635"/>
        <w:rPr>
          <w:rFonts w:ascii="仿宋" w:hAnsi="仿宋" w:eastAsia="仿宋" w:cs="仿宋"/>
          <w:color w:val="auto"/>
          <w:sz w:val="31"/>
          <w:szCs w:val="31"/>
          <w:highlight w:val="none"/>
          <w:u w:val="none"/>
        </w:rPr>
      </w:pPr>
      <w:r>
        <w:rPr>
          <w:rFonts w:hint="eastAsia" w:ascii="仿宋" w:hAnsi="仿宋" w:eastAsia="仿宋" w:cs="仿宋"/>
          <w:color w:val="auto"/>
          <w:sz w:val="32"/>
          <w:szCs w:val="32"/>
          <w:highlight w:val="none"/>
          <w:u w:val="none"/>
        </w:rPr>
        <w:t>与</w:t>
      </w:r>
      <w:r>
        <w:rPr>
          <w:rFonts w:hint="eastAsia" w:ascii="仿宋" w:hAnsi="仿宋" w:eastAsia="仿宋" w:cs="仿宋"/>
          <w:color w:val="auto"/>
          <w:sz w:val="32"/>
          <w:szCs w:val="32"/>
          <w:highlight w:val="none"/>
          <w:u w:val="none"/>
          <w:lang w:eastAsia="zh-CN"/>
        </w:rPr>
        <w:t>202</w:t>
      </w: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lang w:eastAsia="zh-CN"/>
        </w:rPr>
        <w:t>年度</w:t>
      </w:r>
      <w:r>
        <w:rPr>
          <w:rFonts w:hint="eastAsia" w:ascii="仿宋" w:hAnsi="仿宋" w:eastAsia="仿宋" w:cs="仿宋"/>
          <w:color w:val="auto"/>
          <w:sz w:val="32"/>
          <w:szCs w:val="32"/>
          <w:highlight w:val="none"/>
          <w:u w:val="none"/>
        </w:rPr>
        <w:t>相比，财政拨款收</w:t>
      </w:r>
      <w:r>
        <w:rPr>
          <w:rFonts w:ascii="仿宋" w:hAnsi="仿宋" w:eastAsia="仿宋" w:cs="仿宋"/>
          <w:color w:val="auto"/>
          <w:spacing w:val="6"/>
          <w:sz w:val="31"/>
          <w:szCs w:val="31"/>
          <w:highlight w:val="none"/>
          <w:u w:val="none"/>
        </w:rPr>
        <w:t>入</w:t>
      </w:r>
      <w:r>
        <w:rPr>
          <w:rFonts w:hint="eastAsia" w:ascii="仿宋" w:hAnsi="仿宋" w:eastAsia="仿宋" w:cs="仿宋"/>
          <w:color w:val="auto"/>
          <w:spacing w:val="6"/>
          <w:sz w:val="31"/>
          <w:szCs w:val="31"/>
          <w:highlight w:val="none"/>
          <w:u w:val="none"/>
          <w:lang w:val="en-US" w:eastAsia="zh-CN"/>
        </w:rPr>
        <w:t>增加</w:t>
      </w:r>
      <w:r>
        <w:rPr>
          <w:rFonts w:ascii="仿宋" w:hAnsi="仿宋" w:eastAsia="仿宋" w:cs="仿宋"/>
          <w:color w:val="auto"/>
          <w:spacing w:val="-55"/>
          <w:sz w:val="31"/>
          <w:szCs w:val="31"/>
          <w:highlight w:val="none"/>
          <w:u w:val="none"/>
        </w:rPr>
        <w:t xml:space="preserve"> </w:t>
      </w:r>
      <w:r>
        <w:rPr>
          <w:rFonts w:hint="eastAsia" w:ascii="仿宋" w:hAnsi="仿宋" w:eastAsia="仿宋" w:cs="仿宋"/>
          <w:color w:val="auto"/>
          <w:spacing w:val="6"/>
          <w:sz w:val="31"/>
          <w:szCs w:val="31"/>
          <w:highlight w:val="none"/>
          <w:u w:val="none"/>
          <w:lang w:val="en-US" w:eastAsia="zh-CN"/>
        </w:rPr>
        <w:t>698.06</w:t>
      </w:r>
      <w:r>
        <w:rPr>
          <w:rFonts w:ascii="仿宋" w:hAnsi="仿宋" w:eastAsia="仿宋" w:cs="仿宋"/>
          <w:color w:val="auto"/>
          <w:spacing w:val="6"/>
          <w:sz w:val="31"/>
          <w:szCs w:val="31"/>
          <w:highlight w:val="none"/>
          <w:u w:val="none"/>
        </w:rPr>
        <w:t>万元，</w:t>
      </w:r>
      <w:r>
        <w:rPr>
          <w:rFonts w:hint="eastAsia" w:ascii="仿宋" w:hAnsi="仿宋" w:eastAsia="仿宋" w:cs="仿宋"/>
          <w:color w:val="auto"/>
          <w:spacing w:val="6"/>
          <w:sz w:val="31"/>
          <w:szCs w:val="31"/>
          <w:highlight w:val="none"/>
          <w:u w:val="none"/>
          <w:lang w:val="en-US" w:eastAsia="zh-CN"/>
        </w:rPr>
        <w:t>上升</w:t>
      </w:r>
      <w:r>
        <w:rPr>
          <w:rFonts w:ascii="仿宋" w:hAnsi="仿宋" w:eastAsia="仿宋" w:cs="仿宋"/>
          <w:color w:val="auto"/>
          <w:spacing w:val="6"/>
          <w:sz w:val="31"/>
          <w:szCs w:val="31"/>
          <w:highlight w:val="none"/>
          <w:u w:val="none"/>
        </w:rPr>
        <w:t xml:space="preserve"> 7</w:t>
      </w:r>
      <w:r>
        <w:rPr>
          <w:rFonts w:hint="eastAsia" w:ascii="仿宋" w:hAnsi="仿宋" w:eastAsia="仿宋" w:cs="仿宋"/>
          <w:color w:val="auto"/>
          <w:spacing w:val="6"/>
          <w:sz w:val="31"/>
          <w:szCs w:val="31"/>
          <w:highlight w:val="none"/>
          <w:u w:val="none"/>
          <w:lang w:val="en-US" w:eastAsia="zh-CN"/>
        </w:rPr>
        <w:t>倍</w:t>
      </w:r>
      <w:r>
        <w:rPr>
          <w:rFonts w:ascii="仿宋" w:hAnsi="仿宋" w:eastAsia="仿宋" w:cs="仿宋"/>
          <w:color w:val="auto"/>
          <w:spacing w:val="6"/>
          <w:sz w:val="31"/>
          <w:szCs w:val="31"/>
          <w:highlight w:val="none"/>
          <w:u w:val="none"/>
        </w:rPr>
        <w:t>。主要原因是项目</w:t>
      </w:r>
      <w:r>
        <w:rPr>
          <w:rFonts w:hint="eastAsia" w:ascii="仿宋" w:hAnsi="仿宋" w:eastAsia="仿宋" w:cs="仿宋"/>
          <w:color w:val="auto"/>
          <w:spacing w:val="5"/>
          <w:sz w:val="31"/>
          <w:szCs w:val="31"/>
          <w:lang w:val="en-US" w:eastAsia="zh-CN"/>
        </w:rPr>
        <w:t>增加</w:t>
      </w:r>
      <w:r>
        <w:rPr>
          <w:rFonts w:ascii="仿宋" w:hAnsi="仿宋" w:eastAsia="仿宋" w:cs="仿宋"/>
          <w:color w:val="auto"/>
          <w:spacing w:val="6"/>
          <w:sz w:val="31"/>
          <w:szCs w:val="31"/>
          <w:highlight w:val="none"/>
          <w:u w:val="none"/>
        </w:rPr>
        <w:t>。</w:t>
      </w:r>
      <w:r>
        <w:rPr>
          <w:rFonts w:ascii="仿宋" w:hAnsi="仿宋" w:eastAsia="仿宋" w:cs="仿宋"/>
          <w:color w:val="auto"/>
          <w:spacing w:val="3"/>
          <w:sz w:val="31"/>
          <w:szCs w:val="31"/>
          <w:highlight w:val="none"/>
        </w:rPr>
        <w:t>财政拨</w:t>
      </w:r>
      <w:r>
        <w:rPr>
          <w:rFonts w:ascii="仿宋" w:hAnsi="仿宋" w:eastAsia="仿宋" w:cs="仿宋"/>
          <w:color w:val="auto"/>
          <w:spacing w:val="5"/>
          <w:sz w:val="31"/>
          <w:szCs w:val="31"/>
          <w:highlight w:val="none"/>
        </w:rPr>
        <w:t>款支出</w:t>
      </w:r>
      <w:r>
        <w:rPr>
          <w:rFonts w:hint="eastAsia" w:ascii="仿宋" w:hAnsi="仿宋" w:eastAsia="仿宋" w:cs="仿宋"/>
          <w:color w:val="auto"/>
          <w:spacing w:val="5"/>
          <w:sz w:val="31"/>
          <w:szCs w:val="31"/>
          <w:highlight w:val="none"/>
          <w:lang w:val="en-US" w:eastAsia="zh-CN"/>
        </w:rPr>
        <w:t>增加</w:t>
      </w:r>
      <w:r>
        <w:rPr>
          <w:rFonts w:ascii="仿宋" w:hAnsi="仿宋" w:eastAsia="仿宋" w:cs="仿宋"/>
          <w:color w:val="auto"/>
          <w:spacing w:val="-41"/>
          <w:sz w:val="31"/>
          <w:szCs w:val="31"/>
          <w:highlight w:val="none"/>
        </w:rPr>
        <w:t xml:space="preserve"> </w:t>
      </w:r>
      <w:r>
        <w:rPr>
          <w:rFonts w:hint="eastAsia" w:ascii="仿宋" w:hAnsi="仿宋" w:eastAsia="仿宋" w:cs="仿宋"/>
          <w:color w:val="auto"/>
          <w:spacing w:val="6"/>
          <w:sz w:val="31"/>
          <w:szCs w:val="31"/>
          <w:highlight w:val="none"/>
          <w:u w:val="none"/>
          <w:lang w:val="en-US" w:eastAsia="zh-CN"/>
        </w:rPr>
        <w:t>698.06</w:t>
      </w:r>
      <w:r>
        <w:rPr>
          <w:rFonts w:ascii="仿宋" w:hAnsi="仿宋" w:eastAsia="仿宋" w:cs="仿宋"/>
          <w:color w:val="auto"/>
          <w:spacing w:val="6"/>
          <w:sz w:val="31"/>
          <w:szCs w:val="31"/>
          <w:highlight w:val="none"/>
          <w:u w:val="none"/>
        </w:rPr>
        <w:t>万元</w:t>
      </w:r>
      <w:r>
        <w:rPr>
          <w:rFonts w:ascii="仿宋" w:hAnsi="仿宋" w:eastAsia="仿宋" w:cs="仿宋"/>
          <w:color w:val="auto"/>
          <w:spacing w:val="5"/>
          <w:sz w:val="31"/>
          <w:szCs w:val="31"/>
          <w:highlight w:val="none"/>
        </w:rPr>
        <w:t>，</w:t>
      </w:r>
      <w:r>
        <w:rPr>
          <w:rFonts w:hint="eastAsia" w:ascii="仿宋" w:hAnsi="仿宋" w:eastAsia="仿宋" w:cs="仿宋"/>
          <w:color w:val="auto"/>
          <w:spacing w:val="5"/>
          <w:sz w:val="31"/>
          <w:szCs w:val="31"/>
          <w:highlight w:val="none"/>
          <w:lang w:val="en-US" w:eastAsia="zh-CN"/>
        </w:rPr>
        <w:t>上升7倍</w:t>
      </w:r>
      <w:r>
        <w:rPr>
          <w:rFonts w:ascii="仿宋" w:hAnsi="仿宋" w:eastAsia="仿宋" w:cs="仿宋"/>
          <w:color w:val="auto"/>
          <w:spacing w:val="5"/>
          <w:sz w:val="31"/>
          <w:szCs w:val="31"/>
          <w:highlight w:val="none"/>
        </w:rPr>
        <w:t>。主要原因是项目</w:t>
      </w:r>
      <w:r>
        <w:rPr>
          <w:rFonts w:hint="eastAsia" w:ascii="仿宋" w:hAnsi="仿宋" w:eastAsia="仿宋" w:cs="仿宋"/>
          <w:color w:val="auto"/>
          <w:spacing w:val="5"/>
          <w:sz w:val="31"/>
          <w:szCs w:val="31"/>
          <w:highlight w:val="none"/>
          <w:lang w:val="en-US" w:eastAsia="zh-CN"/>
        </w:rPr>
        <w:t>增加</w:t>
      </w:r>
      <w:r>
        <w:rPr>
          <w:rFonts w:ascii="仿宋" w:hAnsi="仿宋" w:eastAsia="仿宋" w:cs="仿宋"/>
          <w:color w:val="auto"/>
          <w:spacing w:val="5"/>
          <w:sz w:val="31"/>
          <w:szCs w:val="31"/>
          <w:highlight w:val="none"/>
        </w:rPr>
        <w:t>。</w:t>
      </w:r>
    </w:p>
    <w:p w14:paraId="16B54CEC">
      <w:pPr>
        <w:keepNext w:val="0"/>
        <w:keepLines w:val="0"/>
        <w:pageBreakBefore w:val="0"/>
        <w:widowControl/>
        <w:kinsoku w:val="0"/>
        <w:wordWrap/>
        <w:overflowPunct/>
        <w:topLinePunct w:val="0"/>
        <w:autoSpaceDE w:val="0"/>
        <w:autoSpaceDN w:val="0"/>
        <w:bidi w:val="0"/>
        <w:adjustRightInd w:val="0"/>
        <w:snapToGrid w:val="0"/>
        <w:spacing w:line="344" w:lineRule="auto"/>
        <w:ind w:firstLine="635"/>
        <w:textAlignment w:val="baseline"/>
        <w:rPr>
          <w:rFonts w:ascii="仿宋" w:hAnsi="仿宋" w:eastAsia="仿宋" w:cs="仿宋"/>
          <w:color w:val="auto"/>
          <w:sz w:val="31"/>
          <w:szCs w:val="31"/>
          <w:highlight w:val="none"/>
        </w:rPr>
      </w:pPr>
      <w:r>
        <w:rPr>
          <w:rFonts w:hint="eastAsia" w:ascii="仿宋" w:hAnsi="仿宋" w:eastAsia="仿宋" w:cs="仿宋"/>
          <w:color w:val="auto"/>
          <w:sz w:val="32"/>
          <w:szCs w:val="32"/>
          <w:highlight w:val="none"/>
          <w:u w:val="none"/>
          <w:lang w:val="en-US" w:eastAsia="zh-CN"/>
        </w:rPr>
        <w:t>2023年度财政拨款收入中，一般公共预算财政拨款收入797.56</w:t>
      </w:r>
      <w:r>
        <w:rPr>
          <w:rFonts w:hint="eastAsia" w:ascii="仿宋" w:hAnsi="仿宋" w:eastAsia="仿宋" w:cs="仿宋"/>
          <w:color w:val="auto"/>
          <w:sz w:val="32"/>
          <w:szCs w:val="32"/>
          <w:highlight w:val="none"/>
          <w:u w:val="none"/>
        </w:rPr>
        <w:t>万元</w:t>
      </w:r>
      <w:r>
        <w:rPr>
          <w:rFonts w:hint="eastAsia" w:ascii="仿宋" w:hAnsi="仿宋" w:eastAsia="仿宋" w:cs="仿宋"/>
          <w:color w:val="auto"/>
          <w:sz w:val="32"/>
          <w:szCs w:val="32"/>
          <w:highlight w:val="none"/>
          <w:u w:val="none"/>
          <w:lang w:eastAsia="zh-CN"/>
        </w:rPr>
        <w:t>，比</w:t>
      </w:r>
      <w:r>
        <w:rPr>
          <w:rFonts w:hint="eastAsia" w:ascii="仿宋" w:hAnsi="仿宋" w:eastAsia="仿宋" w:cs="仿宋"/>
          <w:color w:val="auto"/>
          <w:sz w:val="32"/>
          <w:szCs w:val="32"/>
          <w:highlight w:val="none"/>
          <w:u w:val="none"/>
          <w:lang w:val="en-US" w:eastAsia="zh-CN"/>
        </w:rPr>
        <w:t>2022年度决算数增加</w:t>
      </w:r>
      <w:r>
        <w:rPr>
          <w:rFonts w:hint="eastAsia" w:ascii="仿宋" w:hAnsi="仿宋" w:eastAsia="仿宋" w:cs="仿宋"/>
          <w:color w:val="auto"/>
          <w:spacing w:val="8"/>
          <w:sz w:val="31"/>
          <w:szCs w:val="31"/>
          <w:highlight w:val="none"/>
          <w:u w:val="none"/>
          <w:lang w:val="en-US" w:eastAsia="zh-CN"/>
        </w:rPr>
        <w:t>698.06</w:t>
      </w:r>
      <w:r>
        <w:rPr>
          <w:rFonts w:hint="eastAsia" w:ascii="仿宋" w:hAnsi="仿宋" w:eastAsia="仿宋" w:cs="仿宋"/>
          <w:color w:val="auto"/>
          <w:sz w:val="32"/>
          <w:szCs w:val="32"/>
          <w:highlight w:val="none"/>
          <w:u w:val="none"/>
          <w:lang w:val="en-US" w:eastAsia="zh-CN"/>
        </w:rPr>
        <w:t>万元</w:t>
      </w:r>
      <w:r>
        <w:rPr>
          <w:rFonts w:hint="eastAsia" w:ascii="仿宋" w:hAnsi="仿宋" w:eastAsia="仿宋" w:cs="仿宋"/>
          <w:bCs/>
          <w:color w:val="auto"/>
          <w:sz w:val="32"/>
          <w:szCs w:val="32"/>
          <w:highlight w:val="none"/>
          <w:u w:val="none"/>
          <w:lang w:val="en-US" w:eastAsia="zh-CN"/>
        </w:rPr>
        <w:t>。</w:t>
      </w:r>
      <w:r>
        <w:rPr>
          <w:rFonts w:hint="eastAsia" w:ascii="仿宋" w:hAnsi="仿宋" w:eastAsia="仿宋" w:cs="仿宋"/>
          <w:color w:val="auto"/>
          <w:sz w:val="32"/>
          <w:szCs w:val="32"/>
          <w:highlight w:val="none"/>
          <w:u w:val="none"/>
          <w:lang w:val="en-US" w:eastAsia="zh-CN"/>
        </w:rPr>
        <w:t>增加</w:t>
      </w:r>
      <w:r>
        <w:rPr>
          <w:rFonts w:hint="eastAsia" w:ascii="仿宋" w:hAnsi="仿宋" w:eastAsia="仿宋" w:cs="仿宋"/>
          <w:color w:val="auto"/>
          <w:sz w:val="32"/>
          <w:szCs w:val="32"/>
          <w:highlight w:val="none"/>
          <w:u w:val="none"/>
        </w:rPr>
        <w:t>主要原因是</w:t>
      </w:r>
      <w:r>
        <w:rPr>
          <w:rFonts w:ascii="仿宋" w:hAnsi="仿宋" w:eastAsia="仿宋" w:cs="仿宋"/>
          <w:color w:val="auto"/>
          <w:spacing w:val="8"/>
          <w:sz w:val="31"/>
          <w:szCs w:val="31"/>
          <w:highlight w:val="none"/>
          <w:u w:val="none"/>
        </w:rPr>
        <w:t>项目</w:t>
      </w:r>
      <w:r>
        <w:rPr>
          <w:rFonts w:hint="eastAsia" w:ascii="仿宋" w:hAnsi="仿宋" w:eastAsia="仿宋" w:cs="仿宋"/>
          <w:color w:val="auto"/>
          <w:spacing w:val="8"/>
          <w:sz w:val="31"/>
          <w:szCs w:val="31"/>
          <w:highlight w:val="none"/>
          <w:u w:val="none"/>
          <w:lang w:val="en-US" w:eastAsia="zh-CN"/>
        </w:rPr>
        <w:t>增加</w:t>
      </w:r>
      <w:r>
        <w:rPr>
          <w:rFonts w:hint="eastAsia" w:ascii="仿宋" w:hAnsi="仿宋" w:eastAsia="仿宋" w:cs="仿宋"/>
          <w:color w:val="auto"/>
          <w:sz w:val="32"/>
          <w:szCs w:val="32"/>
          <w:highlight w:val="none"/>
          <w:u w:val="none"/>
        </w:rPr>
        <w:t>。</w:t>
      </w:r>
      <w:r>
        <w:rPr>
          <w:rFonts w:ascii="仿宋" w:hAnsi="仿宋" w:eastAsia="仿宋" w:cs="仿宋"/>
          <w:color w:val="auto"/>
          <w:spacing w:val="8"/>
          <w:sz w:val="31"/>
          <w:szCs w:val="31"/>
          <w:highlight w:val="none"/>
          <w:u w:val="none"/>
        </w:rPr>
        <w:t>政</w:t>
      </w:r>
      <w:r>
        <w:rPr>
          <w:rFonts w:hint="eastAsia" w:ascii="仿宋" w:hAnsi="仿宋" w:eastAsia="仿宋" w:cs="仿宋"/>
          <w:color w:val="auto"/>
          <w:spacing w:val="8"/>
          <w:sz w:val="31"/>
          <w:szCs w:val="31"/>
          <w:highlight w:val="none"/>
          <w:u w:val="none"/>
          <w:lang w:eastAsia="zh-CN"/>
        </w:rPr>
        <w:t>府</w:t>
      </w:r>
      <w:r>
        <w:rPr>
          <w:rFonts w:ascii="仿宋" w:hAnsi="仿宋" w:eastAsia="仿宋" w:cs="仿宋"/>
          <w:color w:val="auto"/>
          <w:spacing w:val="8"/>
          <w:sz w:val="31"/>
          <w:szCs w:val="31"/>
          <w:highlight w:val="none"/>
          <w:u w:val="none"/>
        </w:rPr>
        <w:t>性</w:t>
      </w:r>
      <w:r>
        <w:rPr>
          <w:rFonts w:ascii="仿宋" w:hAnsi="仿宋" w:eastAsia="仿宋" w:cs="仿宋"/>
          <w:color w:val="auto"/>
          <w:spacing w:val="1"/>
          <w:sz w:val="31"/>
          <w:szCs w:val="31"/>
          <w:highlight w:val="none"/>
          <w:u w:val="none"/>
        </w:rPr>
        <w:t>基金预算财政拨款收入</w:t>
      </w:r>
      <w:r>
        <w:rPr>
          <w:rFonts w:ascii="仿宋" w:hAnsi="仿宋" w:eastAsia="仿宋" w:cs="仿宋"/>
          <w:color w:val="auto"/>
          <w:spacing w:val="-59"/>
          <w:sz w:val="31"/>
          <w:szCs w:val="31"/>
          <w:highlight w:val="none"/>
          <w:u w:val="none"/>
        </w:rPr>
        <w:t xml:space="preserve"> </w:t>
      </w:r>
      <w:r>
        <w:rPr>
          <w:rFonts w:ascii="仿宋" w:hAnsi="仿宋" w:eastAsia="仿宋" w:cs="仿宋"/>
          <w:color w:val="auto"/>
          <w:spacing w:val="1"/>
          <w:sz w:val="31"/>
          <w:szCs w:val="31"/>
          <w:highlight w:val="none"/>
          <w:u w:val="none"/>
        </w:rPr>
        <w:t>0</w:t>
      </w:r>
      <w:r>
        <w:rPr>
          <w:rFonts w:ascii="仿宋" w:hAnsi="仿宋" w:eastAsia="仿宋" w:cs="仿宋"/>
          <w:color w:val="auto"/>
          <w:spacing w:val="-51"/>
          <w:sz w:val="31"/>
          <w:szCs w:val="31"/>
          <w:highlight w:val="none"/>
          <w:u w:val="none"/>
        </w:rPr>
        <w:t xml:space="preserve"> </w:t>
      </w:r>
      <w:r>
        <w:rPr>
          <w:rFonts w:ascii="仿宋" w:hAnsi="仿宋" w:eastAsia="仿宋" w:cs="仿宋"/>
          <w:color w:val="auto"/>
          <w:spacing w:val="1"/>
          <w:sz w:val="31"/>
          <w:szCs w:val="31"/>
          <w:highlight w:val="none"/>
          <w:u w:val="none"/>
        </w:rPr>
        <w:t>万元，比</w:t>
      </w:r>
      <w:r>
        <w:rPr>
          <w:rFonts w:ascii="仿宋" w:hAnsi="仿宋" w:eastAsia="仿宋" w:cs="仿宋"/>
          <w:color w:val="auto"/>
          <w:spacing w:val="-58"/>
          <w:sz w:val="31"/>
          <w:szCs w:val="31"/>
          <w:highlight w:val="none"/>
          <w:u w:val="none"/>
        </w:rPr>
        <w:t xml:space="preserve"> </w:t>
      </w:r>
      <w:r>
        <w:rPr>
          <w:rFonts w:ascii="仿宋" w:hAnsi="仿宋" w:eastAsia="仿宋" w:cs="仿宋"/>
          <w:color w:val="auto"/>
          <w:spacing w:val="1"/>
          <w:sz w:val="31"/>
          <w:szCs w:val="31"/>
          <w:highlight w:val="none"/>
          <w:u w:val="none"/>
        </w:rPr>
        <w:t>202</w:t>
      </w:r>
      <w:r>
        <w:rPr>
          <w:rFonts w:hint="eastAsia" w:ascii="仿宋" w:hAnsi="仿宋" w:eastAsia="仿宋" w:cs="仿宋"/>
          <w:color w:val="auto"/>
          <w:spacing w:val="1"/>
          <w:sz w:val="31"/>
          <w:szCs w:val="31"/>
          <w:highlight w:val="none"/>
          <w:u w:val="none"/>
          <w:lang w:val="en-US" w:eastAsia="zh-CN"/>
        </w:rPr>
        <w:t>2</w:t>
      </w:r>
      <w:r>
        <w:rPr>
          <w:rFonts w:ascii="仿宋" w:hAnsi="仿宋" w:eastAsia="仿宋" w:cs="仿宋"/>
          <w:color w:val="auto"/>
          <w:spacing w:val="-47"/>
          <w:sz w:val="31"/>
          <w:szCs w:val="31"/>
          <w:highlight w:val="none"/>
          <w:u w:val="none"/>
        </w:rPr>
        <w:t xml:space="preserve"> </w:t>
      </w:r>
      <w:r>
        <w:rPr>
          <w:rFonts w:ascii="仿宋" w:hAnsi="仿宋" w:eastAsia="仿宋" w:cs="仿宋"/>
          <w:color w:val="auto"/>
          <w:spacing w:val="1"/>
          <w:sz w:val="31"/>
          <w:szCs w:val="31"/>
          <w:highlight w:val="none"/>
          <w:u w:val="none"/>
        </w:rPr>
        <w:t>年度决算数增加（减少）</w:t>
      </w:r>
      <w:r>
        <w:rPr>
          <w:rFonts w:ascii="仿宋" w:hAnsi="仿宋" w:eastAsia="仿宋" w:cs="仿宋"/>
          <w:color w:val="auto"/>
          <w:spacing w:val="-34"/>
          <w:sz w:val="31"/>
          <w:szCs w:val="31"/>
          <w:highlight w:val="none"/>
          <w:u w:val="none"/>
        </w:rPr>
        <w:t xml:space="preserve"> </w:t>
      </w:r>
      <w:r>
        <w:rPr>
          <w:rFonts w:ascii="仿宋" w:hAnsi="仿宋" w:eastAsia="仿宋" w:cs="仿宋"/>
          <w:color w:val="auto"/>
          <w:spacing w:val="1"/>
          <w:sz w:val="31"/>
          <w:szCs w:val="31"/>
          <w:highlight w:val="none"/>
          <w:u w:val="none"/>
        </w:rPr>
        <w:t>0 万</w:t>
      </w:r>
      <w:r>
        <w:rPr>
          <w:rFonts w:ascii="仿宋" w:hAnsi="仿宋" w:eastAsia="仿宋" w:cs="仿宋"/>
          <w:color w:val="auto"/>
          <w:spacing w:val="3"/>
          <w:sz w:val="31"/>
          <w:szCs w:val="31"/>
          <w:highlight w:val="none"/>
          <w:u w:val="none"/>
        </w:rPr>
        <w:t>元。增加（减少）主要原因是</w:t>
      </w:r>
      <w:r>
        <w:rPr>
          <w:rFonts w:ascii="仿宋" w:hAnsi="仿宋" w:eastAsia="仿宋" w:cs="仿宋"/>
          <w:color w:val="auto"/>
          <w:spacing w:val="-51"/>
          <w:sz w:val="31"/>
          <w:szCs w:val="31"/>
          <w:highlight w:val="none"/>
          <w:u w:val="none"/>
        </w:rPr>
        <w:t xml:space="preserve"> </w:t>
      </w:r>
      <w:r>
        <w:rPr>
          <w:rFonts w:ascii="仿宋" w:hAnsi="仿宋" w:eastAsia="仿宋" w:cs="仿宋"/>
          <w:color w:val="auto"/>
          <w:spacing w:val="3"/>
          <w:sz w:val="31"/>
          <w:szCs w:val="31"/>
          <w:highlight w:val="none"/>
          <w:u w:val="none"/>
        </w:rPr>
        <w:t>202</w:t>
      </w:r>
      <w:r>
        <w:rPr>
          <w:rFonts w:hint="eastAsia" w:ascii="仿宋" w:hAnsi="仿宋" w:eastAsia="仿宋" w:cs="仿宋"/>
          <w:color w:val="auto"/>
          <w:spacing w:val="3"/>
          <w:sz w:val="31"/>
          <w:szCs w:val="31"/>
          <w:highlight w:val="none"/>
          <w:u w:val="none"/>
          <w:lang w:val="en-US" w:eastAsia="zh-CN"/>
        </w:rPr>
        <w:t>2</w:t>
      </w:r>
      <w:r>
        <w:rPr>
          <w:rFonts w:ascii="仿宋" w:hAnsi="仿宋" w:eastAsia="仿宋" w:cs="仿宋"/>
          <w:color w:val="auto"/>
          <w:spacing w:val="-47"/>
          <w:sz w:val="31"/>
          <w:szCs w:val="31"/>
          <w:highlight w:val="none"/>
          <w:u w:val="none"/>
        </w:rPr>
        <w:t xml:space="preserve"> </w:t>
      </w:r>
      <w:r>
        <w:rPr>
          <w:rFonts w:ascii="仿宋" w:hAnsi="仿宋" w:eastAsia="仿宋" w:cs="仿宋"/>
          <w:color w:val="auto"/>
          <w:spacing w:val="3"/>
          <w:sz w:val="31"/>
          <w:szCs w:val="31"/>
          <w:highlight w:val="none"/>
          <w:u w:val="none"/>
        </w:rPr>
        <w:t>年和</w:t>
      </w:r>
      <w:r>
        <w:rPr>
          <w:rFonts w:ascii="仿宋" w:hAnsi="仿宋" w:eastAsia="仿宋" w:cs="仿宋"/>
          <w:color w:val="auto"/>
          <w:spacing w:val="-59"/>
          <w:sz w:val="31"/>
          <w:szCs w:val="31"/>
          <w:highlight w:val="none"/>
          <w:u w:val="none"/>
        </w:rPr>
        <w:t xml:space="preserve"> </w:t>
      </w:r>
      <w:r>
        <w:rPr>
          <w:rFonts w:ascii="仿宋" w:hAnsi="仿宋" w:eastAsia="仿宋" w:cs="仿宋"/>
          <w:color w:val="auto"/>
          <w:spacing w:val="3"/>
          <w:sz w:val="31"/>
          <w:szCs w:val="31"/>
          <w:highlight w:val="none"/>
          <w:u w:val="none"/>
        </w:rPr>
        <w:t>202</w:t>
      </w:r>
      <w:r>
        <w:rPr>
          <w:rFonts w:hint="eastAsia" w:ascii="仿宋" w:hAnsi="仿宋" w:eastAsia="仿宋" w:cs="仿宋"/>
          <w:color w:val="auto"/>
          <w:spacing w:val="3"/>
          <w:sz w:val="31"/>
          <w:szCs w:val="31"/>
          <w:highlight w:val="none"/>
          <w:u w:val="none"/>
          <w:lang w:val="en-US" w:eastAsia="zh-CN"/>
        </w:rPr>
        <w:t>3</w:t>
      </w:r>
      <w:r>
        <w:rPr>
          <w:rFonts w:ascii="仿宋" w:hAnsi="仿宋" w:eastAsia="仿宋" w:cs="仿宋"/>
          <w:color w:val="auto"/>
          <w:spacing w:val="-47"/>
          <w:sz w:val="31"/>
          <w:szCs w:val="31"/>
          <w:highlight w:val="none"/>
          <w:u w:val="none"/>
        </w:rPr>
        <w:t xml:space="preserve"> </w:t>
      </w:r>
      <w:r>
        <w:rPr>
          <w:rFonts w:ascii="仿宋" w:hAnsi="仿宋" w:eastAsia="仿宋" w:cs="仿宋"/>
          <w:color w:val="auto"/>
          <w:spacing w:val="3"/>
          <w:sz w:val="31"/>
          <w:szCs w:val="31"/>
          <w:highlight w:val="none"/>
          <w:u w:val="none"/>
        </w:rPr>
        <w:t>年本单位均无该项收入。</w:t>
      </w:r>
      <w:r>
        <w:rPr>
          <w:rFonts w:ascii="仿宋" w:hAnsi="仿宋" w:eastAsia="仿宋" w:cs="仿宋"/>
          <w:color w:val="auto"/>
          <w:sz w:val="31"/>
          <w:szCs w:val="31"/>
          <w:highlight w:val="none"/>
          <w:u w:val="none"/>
        </w:rPr>
        <w:t xml:space="preserve"> </w:t>
      </w:r>
      <w:r>
        <w:rPr>
          <w:rFonts w:ascii="仿宋" w:hAnsi="仿宋" w:eastAsia="仿宋" w:cs="仿宋"/>
          <w:color w:val="auto"/>
          <w:spacing w:val="1"/>
          <w:sz w:val="31"/>
          <w:szCs w:val="31"/>
          <w:highlight w:val="none"/>
          <w:u w:val="none"/>
        </w:rPr>
        <w:t>国有资本经营预算财政拨款收入 0 万元，比</w:t>
      </w:r>
      <w:r>
        <w:rPr>
          <w:rFonts w:ascii="仿宋" w:hAnsi="仿宋" w:eastAsia="仿宋" w:cs="仿宋"/>
          <w:color w:val="auto"/>
          <w:spacing w:val="-48"/>
          <w:sz w:val="31"/>
          <w:szCs w:val="31"/>
          <w:highlight w:val="none"/>
          <w:u w:val="none"/>
        </w:rPr>
        <w:t xml:space="preserve"> </w:t>
      </w:r>
      <w:r>
        <w:rPr>
          <w:rFonts w:ascii="仿宋" w:hAnsi="仿宋" w:eastAsia="仿宋" w:cs="仿宋"/>
          <w:color w:val="auto"/>
          <w:spacing w:val="1"/>
          <w:sz w:val="31"/>
          <w:szCs w:val="31"/>
          <w:highlight w:val="none"/>
          <w:u w:val="none"/>
        </w:rPr>
        <w:t>202</w:t>
      </w:r>
      <w:r>
        <w:rPr>
          <w:rFonts w:hint="eastAsia" w:ascii="仿宋" w:hAnsi="仿宋" w:eastAsia="仿宋" w:cs="仿宋"/>
          <w:color w:val="auto"/>
          <w:spacing w:val="1"/>
          <w:sz w:val="31"/>
          <w:szCs w:val="31"/>
          <w:highlight w:val="none"/>
          <w:u w:val="none"/>
          <w:lang w:val="en-US" w:eastAsia="zh-CN"/>
        </w:rPr>
        <w:t>2</w:t>
      </w:r>
      <w:r>
        <w:rPr>
          <w:rFonts w:ascii="仿宋" w:hAnsi="仿宋" w:eastAsia="仿宋" w:cs="仿宋"/>
          <w:color w:val="auto"/>
          <w:spacing w:val="-47"/>
          <w:sz w:val="31"/>
          <w:szCs w:val="31"/>
          <w:highlight w:val="none"/>
          <w:u w:val="none"/>
        </w:rPr>
        <w:t xml:space="preserve"> </w:t>
      </w:r>
      <w:r>
        <w:rPr>
          <w:rFonts w:ascii="仿宋" w:hAnsi="仿宋" w:eastAsia="仿宋" w:cs="仿宋"/>
          <w:color w:val="auto"/>
          <w:spacing w:val="1"/>
          <w:sz w:val="31"/>
          <w:szCs w:val="31"/>
          <w:highlight w:val="none"/>
          <w:u w:val="none"/>
        </w:rPr>
        <w:t>年度决算数增</w:t>
      </w:r>
      <w:r>
        <w:rPr>
          <w:rFonts w:ascii="仿宋" w:hAnsi="仿宋" w:eastAsia="仿宋" w:cs="仿宋"/>
          <w:color w:val="auto"/>
          <w:spacing w:val="1"/>
          <w:sz w:val="31"/>
          <w:szCs w:val="31"/>
          <w:highlight w:val="none"/>
        </w:rPr>
        <w:t>加（减</w:t>
      </w:r>
      <w:r>
        <w:rPr>
          <w:rFonts w:ascii="仿宋" w:hAnsi="仿宋" w:eastAsia="仿宋" w:cs="仿宋"/>
          <w:color w:val="auto"/>
          <w:sz w:val="31"/>
          <w:szCs w:val="31"/>
          <w:highlight w:val="none"/>
        </w:rPr>
        <w:t xml:space="preserve"> </w:t>
      </w:r>
      <w:r>
        <w:rPr>
          <w:rFonts w:ascii="仿宋" w:hAnsi="仿宋" w:eastAsia="仿宋" w:cs="仿宋"/>
          <w:color w:val="auto"/>
          <w:spacing w:val="4"/>
          <w:sz w:val="31"/>
          <w:szCs w:val="31"/>
          <w:highlight w:val="none"/>
        </w:rPr>
        <w:t>少）0万元。增加（减少</w:t>
      </w:r>
      <w:r>
        <w:rPr>
          <w:rFonts w:hint="eastAsia" w:ascii="仿宋" w:hAnsi="仿宋" w:eastAsia="仿宋" w:cs="仿宋"/>
          <w:color w:val="auto"/>
          <w:spacing w:val="4"/>
          <w:sz w:val="31"/>
          <w:szCs w:val="31"/>
          <w:highlight w:val="none"/>
          <w:lang w:eastAsia="zh-CN"/>
        </w:rPr>
        <w:t>）</w:t>
      </w:r>
      <w:r>
        <w:rPr>
          <w:rFonts w:ascii="仿宋" w:hAnsi="仿宋" w:eastAsia="仿宋" w:cs="仿宋"/>
          <w:color w:val="auto"/>
          <w:spacing w:val="4"/>
          <w:sz w:val="31"/>
          <w:szCs w:val="31"/>
          <w:highlight w:val="none"/>
        </w:rPr>
        <w:t>主要原因是</w:t>
      </w:r>
      <w:r>
        <w:rPr>
          <w:rFonts w:ascii="仿宋" w:hAnsi="仿宋" w:eastAsia="仿宋" w:cs="仿宋"/>
          <w:color w:val="auto"/>
          <w:spacing w:val="-46"/>
          <w:sz w:val="31"/>
          <w:szCs w:val="31"/>
          <w:highlight w:val="none"/>
        </w:rPr>
        <w:t xml:space="preserve"> </w:t>
      </w:r>
      <w:r>
        <w:rPr>
          <w:rFonts w:ascii="仿宋" w:hAnsi="仿宋" w:eastAsia="仿宋" w:cs="仿宋"/>
          <w:color w:val="auto"/>
          <w:spacing w:val="4"/>
          <w:sz w:val="31"/>
          <w:szCs w:val="31"/>
          <w:highlight w:val="none"/>
        </w:rPr>
        <w:t>202</w:t>
      </w:r>
      <w:r>
        <w:rPr>
          <w:rFonts w:hint="eastAsia" w:ascii="仿宋" w:hAnsi="仿宋" w:eastAsia="仿宋" w:cs="仿宋"/>
          <w:color w:val="auto"/>
          <w:spacing w:val="4"/>
          <w:sz w:val="31"/>
          <w:szCs w:val="31"/>
          <w:highlight w:val="none"/>
          <w:lang w:val="en-US" w:eastAsia="zh-CN"/>
        </w:rPr>
        <w:t>2</w:t>
      </w:r>
      <w:r>
        <w:rPr>
          <w:rFonts w:ascii="仿宋" w:hAnsi="仿宋" w:eastAsia="仿宋" w:cs="仿宋"/>
          <w:color w:val="auto"/>
          <w:spacing w:val="-47"/>
          <w:sz w:val="31"/>
          <w:szCs w:val="31"/>
          <w:highlight w:val="none"/>
        </w:rPr>
        <w:t xml:space="preserve"> </w:t>
      </w:r>
      <w:r>
        <w:rPr>
          <w:rFonts w:ascii="仿宋" w:hAnsi="仿宋" w:eastAsia="仿宋" w:cs="仿宋"/>
          <w:color w:val="auto"/>
          <w:spacing w:val="4"/>
          <w:sz w:val="31"/>
          <w:szCs w:val="31"/>
          <w:highlight w:val="none"/>
        </w:rPr>
        <w:t>年和</w:t>
      </w:r>
      <w:r>
        <w:rPr>
          <w:rFonts w:ascii="仿宋" w:hAnsi="仿宋" w:eastAsia="仿宋" w:cs="仿宋"/>
          <w:color w:val="auto"/>
          <w:spacing w:val="-58"/>
          <w:sz w:val="31"/>
          <w:szCs w:val="31"/>
          <w:highlight w:val="none"/>
        </w:rPr>
        <w:t xml:space="preserve"> </w:t>
      </w:r>
      <w:r>
        <w:rPr>
          <w:rFonts w:ascii="仿宋" w:hAnsi="仿宋" w:eastAsia="仿宋" w:cs="仿宋"/>
          <w:color w:val="auto"/>
          <w:spacing w:val="4"/>
          <w:sz w:val="31"/>
          <w:szCs w:val="31"/>
          <w:highlight w:val="none"/>
        </w:rPr>
        <w:t>202</w:t>
      </w:r>
      <w:r>
        <w:rPr>
          <w:rFonts w:hint="eastAsia" w:ascii="仿宋" w:hAnsi="仿宋" w:eastAsia="仿宋" w:cs="仿宋"/>
          <w:color w:val="auto"/>
          <w:spacing w:val="4"/>
          <w:sz w:val="31"/>
          <w:szCs w:val="31"/>
          <w:highlight w:val="none"/>
          <w:lang w:val="en-US" w:eastAsia="zh-CN"/>
        </w:rPr>
        <w:t>3</w:t>
      </w:r>
      <w:r>
        <w:rPr>
          <w:rFonts w:ascii="仿宋" w:hAnsi="仿宋" w:eastAsia="仿宋" w:cs="仿宋"/>
          <w:color w:val="auto"/>
          <w:spacing w:val="-47"/>
          <w:sz w:val="31"/>
          <w:szCs w:val="31"/>
          <w:highlight w:val="none"/>
        </w:rPr>
        <w:t xml:space="preserve"> </w:t>
      </w:r>
      <w:r>
        <w:rPr>
          <w:rFonts w:ascii="仿宋" w:hAnsi="仿宋" w:eastAsia="仿宋" w:cs="仿宋"/>
          <w:color w:val="auto"/>
          <w:spacing w:val="4"/>
          <w:sz w:val="31"/>
          <w:szCs w:val="31"/>
          <w:highlight w:val="none"/>
        </w:rPr>
        <w:t>年本单位均无</w:t>
      </w:r>
      <w:r>
        <w:rPr>
          <w:rFonts w:ascii="仿宋" w:hAnsi="仿宋" w:eastAsia="仿宋" w:cs="仿宋"/>
          <w:color w:val="auto"/>
          <w:spacing w:val="3"/>
          <w:sz w:val="31"/>
          <w:szCs w:val="31"/>
          <w:highlight w:val="none"/>
        </w:rPr>
        <w:t>该项收入。</w:t>
      </w:r>
    </w:p>
    <w:p w14:paraId="6FBAB94E">
      <w:pPr>
        <w:spacing w:before="59" w:line="222" w:lineRule="auto"/>
        <w:ind w:left="2232"/>
        <w:rPr>
          <w:rFonts w:ascii="仿宋" w:hAnsi="仿宋" w:eastAsia="仿宋" w:cs="仿宋"/>
          <w:color w:val="auto"/>
          <w:spacing w:val="-4"/>
          <w:sz w:val="30"/>
          <w:szCs w:val="30"/>
        </w:rPr>
      </w:pPr>
      <w:r>
        <w:rPr>
          <w:rFonts w:ascii="仿宋" w:hAnsi="仿宋" w:eastAsia="仿宋" w:cs="仿宋"/>
          <w:color w:val="auto"/>
          <w:spacing w:val="-4"/>
          <w:sz w:val="30"/>
          <w:szCs w:val="30"/>
        </w:rPr>
        <w:t>图</w:t>
      </w:r>
      <w:r>
        <w:rPr>
          <w:rFonts w:ascii="仿宋" w:hAnsi="仿宋" w:eastAsia="仿宋" w:cs="仿宋"/>
          <w:color w:val="auto"/>
          <w:spacing w:val="-56"/>
          <w:sz w:val="30"/>
          <w:szCs w:val="30"/>
        </w:rPr>
        <w:t xml:space="preserve"> </w:t>
      </w:r>
      <w:r>
        <w:rPr>
          <w:rFonts w:ascii="仿宋" w:hAnsi="仿宋" w:eastAsia="仿宋" w:cs="仿宋"/>
          <w:color w:val="auto"/>
          <w:spacing w:val="-4"/>
          <w:sz w:val="30"/>
          <w:szCs w:val="30"/>
        </w:rPr>
        <w:t>4：财政拨款收、支决算总计变动情况</w:t>
      </w:r>
    </w:p>
    <w:p w14:paraId="40FC31B4">
      <w:pPr>
        <w:spacing w:before="59" w:line="222" w:lineRule="auto"/>
        <w:ind w:left="2232"/>
        <w:rPr>
          <w:rFonts w:ascii="仿宋" w:hAnsi="仿宋" w:eastAsia="仿宋" w:cs="仿宋"/>
          <w:color w:val="auto"/>
          <w:spacing w:val="-4"/>
          <w:sz w:val="30"/>
          <w:szCs w:val="30"/>
        </w:rPr>
      </w:pPr>
    </w:p>
    <w:p w14:paraId="4032FCC5">
      <w:pPr>
        <w:spacing w:before="59" w:line="222" w:lineRule="auto"/>
        <w:ind w:left="10" w:leftChars="0" w:hanging="10" w:hangingChars="5"/>
        <w:rPr>
          <w:rFonts w:ascii="仿宋" w:hAnsi="仿宋" w:eastAsia="仿宋" w:cs="仿宋"/>
          <w:color w:val="auto"/>
          <w:sz w:val="30"/>
          <w:szCs w:val="30"/>
        </w:rPr>
      </w:pPr>
      <w:r>
        <w:rPr>
          <w:rFonts w:hint="eastAsia" w:eastAsia="宋体"/>
          <w:lang w:val="en-US" w:eastAsia="zh-CN"/>
        </w:rPr>
        <w:t xml:space="preserve">                       </w:t>
      </w:r>
      <w: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DB0994">
      <w:pPr>
        <w:pStyle w:val="2"/>
        <w:spacing w:before="267" w:line="226" w:lineRule="auto"/>
        <w:ind w:left="641"/>
        <w:rPr>
          <w:color w:val="auto"/>
        </w:rPr>
      </w:pPr>
      <w:r>
        <w:rPr>
          <w:color w:val="auto"/>
          <w:spacing w:val="8"/>
        </w:rPr>
        <w:t>五、一般公共预算财政拨款支出决算情况说明</w:t>
      </w:r>
    </w:p>
    <w:p w14:paraId="4FA10064">
      <w:pPr>
        <w:spacing w:before="138" w:line="227" w:lineRule="auto"/>
        <w:ind w:left="646"/>
        <w:rPr>
          <w:rFonts w:ascii="仿宋" w:hAnsi="仿宋" w:eastAsia="仿宋" w:cs="仿宋"/>
          <w:color w:val="auto"/>
          <w:sz w:val="31"/>
          <w:szCs w:val="31"/>
        </w:rPr>
      </w:pPr>
      <w:r>
        <w:rPr>
          <w:rFonts w:ascii="仿宋" w:hAnsi="仿宋" w:eastAsia="仿宋" w:cs="仿宋"/>
          <w:color w:val="auto"/>
          <w:spacing w:val="8"/>
          <w:sz w:val="31"/>
          <w:szCs w:val="31"/>
        </w:rPr>
        <w:t>（一）一般公共预算财政拨款支出决算总体情况。</w:t>
      </w:r>
    </w:p>
    <w:p w14:paraId="73AE32EB">
      <w:pPr>
        <w:spacing w:before="242" w:line="360" w:lineRule="auto"/>
        <w:ind w:right="113" w:firstLine="634"/>
        <w:rPr>
          <w:rFonts w:ascii="仿宋" w:hAnsi="仿宋" w:eastAsia="仿宋" w:cs="仿宋"/>
          <w:color w:val="auto"/>
          <w:sz w:val="31"/>
          <w:szCs w:val="31"/>
        </w:rPr>
      </w:pPr>
      <w:r>
        <w:rPr>
          <w:rFonts w:ascii="仿宋" w:hAnsi="仿宋" w:eastAsia="仿宋" w:cs="仿宋"/>
          <w:color w:val="auto"/>
          <w:spacing w:val="7"/>
          <w:sz w:val="31"/>
          <w:szCs w:val="31"/>
        </w:rPr>
        <w:t>202</w:t>
      </w:r>
      <w:r>
        <w:rPr>
          <w:rFonts w:hint="eastAsia" w:ascii="仿宋" w:hAnsi="仿宋" w:eastAsia="仿宋" w:cs="仿宋"/>
          <w:color w:val="auto"/>
          <w:spacing w:val="7"/>
          <w:sz w:val="31"/>
          <w:szCs w:val="31"/>
          <w:lang w:val="en-US" w:eastAsia="zh-CN"/>
        </w:rPr>
        <w:t>3</w:t>
      </w:r>
      <w:r>
        <w:rPr>
          <w:rFonts w:ascii="仿宋" w:hAnsi="仿宋" w:eastAsia="仿宋" w:cs="仿宋"/>
          <w:color w:val="auto"/>
          <w:spacing w:val="-31"/>
          <w:sz w:val="31"/>
          <w:szCs w:val="31"/>
        </w:rPr>
        <w:t xml:space="preserve"> </w:t>
      </w:r>
      <w:r>
        <w:rPr>
          <w:rFonts w:ascii="仿宋" w:hAnsi="仿宋" w:eastAsia="仿宋" w:cs="仿宋"/>
          <w:color w:val="auto"/>
          <w:spacing w:val="7"/>
          <w:sz w:val="31"/>
          <w:szCs w:val="31"/>
        </w:rPr>
        <w:t xml:space="preserve">年度一般公共预算财政拨款支出 </w:t>
      </w:r>
      <w:r>
        <w:rPr>
          <w:rFonts w:hint="eastAsia" w:ascii="仿宋" w:hAnsi="仿宋" w:eastAsia="仿宋" w:cs="仿宋"/>
          <w:color w:val="auto"/>
          <w:spacing w:val="7"/>
          <w:sz w:val="31"/>
          <w:szCs w:val="31"/>
          <w:lang w:val="en-US" w:eastAsia="zh-CN"/>
        </w:rPr>
        <w:t>797.56</w:t>
      </w:r>
      <w:r>
        <w:rPr>
          <w:rFonts w:ascii="仿宋" w:hAnsi="仿宋" w:eastAsia="仿宋" w:cs="仿宋"/>
          <w:color w:val="auto"/>
          <w:spacing w:val="7"/>
          <w:sz w:val="31"/>
          <w:szCs w:val="31"/>
        </w:rPr>
        <w:t>万元，</w:t>
      </w:r>
      <w:r>
        <w:rPr>
          <w:rFonts w:ascii="仿宋" w:hAnsi="仿宋" w:eastAsia="仿宋" w:cs="仿宋"/>
          <w:color w:val="auto"/>
          <w:spacing w:val="-67"/>
          <w:sz w:val="31"/>
          <w:szCs w:val="31"/>
        </w:rPr>
        <w:t xml:space="preserve"> </w:t>
      </w:r>
      <w:r>
        <w:rPr>
          <w:rFonts w:ascii="仿宋" w:hAnsi="仿宋" w:eastAsia="仿宋" w:cs="仿宋"/>
          <w:color w:val="auto"/>
          <w:spacing w:val="7"/>
          <w:sz w:val="31"/>
          <w:szCs w:val="31"/>
        </w:rPr>
        <w:t>占本年支出合</w:t>
      </w:r>
      <w:r>
        <w:rPr>
          <w:rFonts w:ascii="仿宋" w:hAnsi="仿宋" w:eastAsia="仿宋" w:cs="仿宋"/>
          <w:color w:val="auto"/>
          <w:spacing w:val="6"/>
          <w:sz w:val="31"/>
          <w:szCs w:val="31"/>
        </w:rPr>
        <w:t>计的</w:t>
      </w:r>
      <w:r>
        <w:rPr>
          <w:rFonts w:hint="eastAsia" w:ascii="仿宋" w:hAnsi="仿宋" w:eastAsia="仿宋" w:cs="仿宋"/>
          <w:color w:val="auto"/>
          <w:spacing w:val="-59"/>
          <w:sz w:val="31"/>
          <w:szCs w:val="31"/>
          <w:lang w:val="en-US" w:eastAsia="zh-CN"/>
        </w:rPr>
        <w:t xml:space="preserve">4 7 </w:t>
      </w:r>
      <w:r>
        <w:rPr>
          <w:rFonts w:ascii="仿宋" w:hAnsi="仿宋" w:eastAsia="仿宋" w:cs="仿宋"/>
          <w:color w:val="auto"/>
          <w:spacing w:val="6"/>
          <w:sz w:val="31"/>
          <w:szCs w:val="31"/>
        </w:rPr>
        <w:t>%。与</w:t>
      </w:r>
      <w:r>
        <w:rPr>
          <w:rFonts w:ascii="仿宋" w:hAnsi="仿宋" w:eastAsia="仿宋" w:cs="仿宋"/>
          <w:color w:val="auto"/>
          <w:spacing w:val="-58"/>
          <w:sz w:val="31"/>
          <w:szCs w:val="31"/>
        </w:rPr>
        <w:t xml:space="preserve"> </w:t>
      </w:r>
      <w:r>
        <w:rPr>
          <w:rFonts w:ascii="仿宋" w:hAnsi="仿宋" w:eastAsia="仿宋" w:cs="仿宋"/>
          <w:color w:val="auto"/>
          <w:spacing w:val="6"/>
          <w:sz w:val="31"/>
          <w:szCs w:val="31"/>
        </w:rPr>
        <w:t>2021</w:t>
      </w:r>
      <w:r>
        <w:rPr>
          <w:rFonts w:ascii="仿宋" w:hAnsi="仿宋" w:eastAsia="仿宋" w:cs="仿宋"/>
          <w:color w:val="auto"/>
          <w:spacing w:val="-47"/>
          <w:sz w:val="31"/>
          <w:szCs w:val="31"/>
        </w:rPr>
        <w:t xml:space="preserve"> </w:t>
      </w:r>
      <w:r>
        <w:rPr>
          <w:rFonts w:ascii="仿宋" w:hAnsi="仿宋" w:eastAsia="仿宋" w:cs="仿宋"/>
          <w:color w:val="auto"/>
          <w:spacing w:val="6"/>
          <w:sz w:val="31"/>
          <w:szCs w:val="31"/>
        </w:rPr>
        <w:t>年度相比，一般公共预算财政拨款支出</w:t>
      </w:r>
      <w:r>
        <w:rPr>
          <w:rFonts w:hint="eastAsia" w:ascii="仿宋" w:hAnsi="仿宋" w:eastAsia="仿宋" w:cs="仿宋"/>
          <w:color w:val="auto"/>
          <w:spacing w:val="6"/>
          <w:sz w:val="31"/>
          <w:szCs w:val="31"/>
          <w:lang w:val="en-US" w:eastAsia="zh-CN"/>
        </w:rPr>
        <w:t>增加</w:t>
      </w:r>
      <w:r>
        <w:rPr>
          <w:rFonts w:ascii="仿宋" w:hAnsi="仿宋" w:eastAsia="仿宋" w:cs="仿宋"/>
          <w:color w:val="auto"/>
          <w:spacing w:val="6"/>
          <w:sz w:val="31"/>
          <w:szCs w:val="31"/>
        </w:rPr>
        <w:t xml:space="preserve"> </w:t>
      </w:r>
      <w:r>
        <w:rPr>
          <w:rFonts w:ascii="仿宋" w:hAnsi="仿宋" w:eastAsia="仿宋" w:cs="仿宋"/>
          <w:color w:val="auto"/>
          <w:spacing w:val="-41"/>
          <w:sz w:val="31"/>
          <w:szCs w:val="31"/>
          <w:highlight w:val="none"/>
        </w:rPr>
        <w:t xml:space="preserve"> </w:t>
      </w:r>
      <w:r>
        <w:rPr>
          <w:rFonts w:hint="eastAsia" w:ascii="仿宋" w:hAnsi="仿宋" w:eastAsia="仿宋" w:cs="仿宋"/>
          <w:color w:val="auto"/>
          <w:spacing w:val="6"/>
          <w:sz w:val="31"/>
          <w:szCs w:val="31"/>
          <w:highlight w:val="none"/>
          <w:u w:val="none"/>
          <w:lang w:val="en-US" w:eastAsia="zh-CN"/>
        </w:rPr>
        <w:t>698.06</w:t>
      </w:r>
      <w:r>
        <w:rPr>
          <w:rFonts w:ascii="仿宋" w:hAnsi="仿宋" w:eastAsia="仿宋" w:cs="仿宋"/>
          <w:color w:val="auto"/>
          <w:spacing w:val="6"/>
          <w:sz w:val="31"/>
          <w:szCs w:val="31"/>
          <w:highlight w:val="none"/>
          <w:u w:val="none"/>
        </w:rPr>
        <w:t>万元</w:t>
      </w:r>
      <w:r>
        <w:rPr>
          <w:rFonts w:ascii="仿宋" w:hAnsi="仿宋" w:eastAsia="仿宋" w:cs="仿宋"/>
          <w:color w:val="auto"/>
          <w:spacing w:val="5"/>
          <w:sz w:val="31"/>
          <w:szCs w:val="31"/>
          <w:highlight w:val="none"/>
        </w:rPr>
        <w:t>，</w:t>
      </w:r>
      <w:r>
        <w:rPr>
          <w:rFonts w:hint="eastAsia" w:ascii="仿宋" w:hAnsi="仿宋" w:eastAsia="仿宋" w:cs="仿宋"/>
          <w:color w:val="auto"/>
          <w:spacing w:val="5"/>
          <w:sz w:val="31"/>
          <w:szCs w:val="31"/>
          <w:highlight w:val="none"/>
          <w:lang w:val="en-US" w:eastAsia="zh-CN"/>
        </w:rPr>
        <w:t>上升7倍</w:t>
      </w:r>
      <w:r>
        <w:rPr>
          <w:rFonts w:ascii="仿宋" w:hAnsi="仿宋" w:eastAsia="仿宋" w:cs="仿宋"/>
          <w:color w:val="auto"/>
          <w:spacing w:val="6"/>
          <w:sz w:val="31"/>
          <w:szCs w:val="31"/>
        </w:rPr>
        <w:t>。主要原因是项目</w:t>
      </w:r>
      <w:r>
        <w:rPr>
          <w:rFonts w:hint="eastAsia" w:ascii="仿宋" w:hAnsi="仿宋" w:eastAsia="仿宋" w:cs="仿宋"/>
          <w:color w:val="auto"/>
          <w:spacing w:val="6"/>
          <w:sz w:val="31"/>
          <w:szCs w:val="31"/>
          <w:lang w:val="en-US" w:eastAsia="zh-CN"/>
        </w:rPr>
        <w:t>增加</w:t>
      </w:r>
      <w:r>
        <w:rPr>
          <w:rFonts w:ascii="仿宋" w:hAnsi="仿宋" w:eastAsia="仿宋" w:cs="仿宋"/>
          <w:color w:val="auto"/>
          <w:spacing w:val="6"/>
          <w:sz w:val="31"/>
          <w:szCs w:val="31"/>
        </w:rPr>
        <w:t>。</w:t>
      </w:r>
    </w:p>
    <w:p w14:paraId="764DE01B">
      <w:pPr>
        <w:spacing w:before="65" w:line="227" w:lineRule="auto"/>
        <w:ind w:left="645"/>
        <w:rPr>
          <w:rFonts w:ascii="仿宋" w:hAnsi="仿宋" w:eastAsia="仿宋" w:cs="仿宋"/>
          <w:color w:val="auto"/>
          <w:sz w:val="31"/>
          <w:szCs w:val="31"/>
        </w:rPr>
      </w:pPr>
      <w:r>
        <w:rPr>
          <w:rFonts w:ascii="仿宋" w:hAnsi="仿宋" w:eastAsia="仿宋" w:cs="仿宋"/>
          <w:color w:val="auto"/>
          <w:spacing w:val="8"/>
          <w:sz w:val="31"/>
          <w:szCs w:val="31"/>
        </w:rPr>
        <w:t>（二）一般公共预算财政拨款支出决算结构情况。</w:t>
      </w:r>
    </w:p>
    <w:p w14:paraId="0542592D">
      <w:pPr>
        <w:spacing w:before="241" w:line="356" w:lineRule="auto"/>
        <w:ind w:left="7" w:right="2" w:firstLine="627"/>
        <w:rPr>
          <w:rFonts w:ascii="仿宋" w:hAnsi="仿宋" w:eastAsia="仿宋" w:cs="仿宋"/>
          <w:color w:val="auto"/>
          <w:sz w:val="31"/>
          <w:szCs w:val="31"/>
        </w:rPr>
      </w:pPr>
      <w:r>
        <w:rPr>
          <w:rFonts w:ascii="仿宋" w:hAnsi="仿宋" w:eastAsia="仿宋" w:cs="仿宋"/>
          <w:color w:val="auto"/>
          <w:spacing w:val="10"/>
          <w:sz w:val="31"/>
          <w:szCs w:val="31"/>
        </w:rPr>
        <w:t>202</w:t>
      </w:r>
      <w:r>
        <w:rPr>
          <w:rFonts w:hint="eastAsia" w:ascii="仿宋" w:hAnsi="仿宋" w:eastAsia="仿宋" w:cs="仿宋"/>
          <w:color w:val="auto"/>
          <w:spacing w:val="10"/>
          <w:sz w:val="31"/>
          <w:szCs w:val="31"/>
          <w:lang w:val="en-US" w:eastAsia="zh-CN"/>
        </w:rPr>
        <w:t>3</w:t>
      </w:r>
      <w:r>
        <w:rPr>
          <w:rFonts w:ascii="仿宋" w:hAnsi="仿宋" w:eastAsia="仿宋" w:cs="仿宋"/>
          <w:color w:val="auto"/>
          <w:spacing w:val="-39"/>
          <w:sz w:val="31"/>
          <w:szCs w:val="31"/>
        </w:rPr>
        <w:t xml:space="preserve"> </w:t>
      </w:r>
      <w:r>
        <w:rPr>
          <w:rFonts w:ascii="仿宋" w:hAnsi="仿宋" w:eastAsia="仿宋" w:cs="仿宋"/>
          <w:color w:val="auto"/>
          <w:spacing w:val="10"/>
          <w:sz w:val="31"/>
          <w:szCs w:val="31"/>
        </w:rPr>
        <w:t>年度一般公共预算财政拨款支出</w:t>
      </w:r>
      <w:r>
        <w:rPr>
          <w:rFonts w:hint="eastAsia" w:ascii="仿宋" w:hAnsi="仿宋" w:eastAsia="仿宋" w:cs="仿宋"/>
          <w:color w:val="auto"/>
          <w:spacing w:val="7"/>
          <w:sz w:val="31"/>
          <w:szCs w:val="31"/>
          <w:lang w:val="en-US" w:eastAsia="zh-CN"/>
        </w:rPr>
        <w:t>797.56</w:t>
      </w:r>
      <w:r>
        <w:rPr>
          <w:rFonts w:ascii="仿宋" w:hAnsi="仿宋" w:eastAsia="仿宋" w:cs="仿宋"/>
          <w:color w:val="auto"/>
          <w:spacing w:val="7"/>
          <w:sz w:val="31"/>
          <w:szCs w:val="31"/>
        </w:rPr>
        <w:t>万元</w:t>
      </w:r>
      <w:r>
        <w:rPr>
          <w:rFonts w:ascii="仿宋" w:hAnsi="仿宋" w:eastAsia="仿宋" w:cs="仿宋"/>
          <w:color w:val="auto"/>
          <w:spacing w:val="10"/>
          <w:sz w:val="31"/>
          <w:szCs w:val="31"/>
        </w:rPr>
        <w:t>，主要用于以下</w:t>
      </w:r>
      <w:r>
        <w:rPr>
          <w:rFonts w:ascii="仿宋" w:hAnsi="仿宋" w:eastAsia="仿宋" w:cs="仿宋"/>
          <w:color w:val="auto"/>
          <w:spacing w:val="-4"/>
          <w:sz w:val="31"/>
          <w:szCs w:val="31"/>
        </w:rPr>
        <w:t>方面：</w:t>
      </w:r>
    </w:p>
    <w:p w14:paraId="597FC079">
      <w:pPr>
        <w:spacing w:before="49" w:line="354" w:lineRule="auto"/>
        <w:ind w:left="1" w:right="2" w:firstLine="699"/>
        <w:rPr>
          <w:rFonts w:ascii="仿宋" w:hAnsi="仿宋" w:eastAsia="仿宋" w:cs="仿宋"/>
          <w:color w:val="auto"/>
          <w:sz w:val="31"/>
          <w:szCs w:val="31"/>
        </w:rPr>
      </w:pPr>
      <w:r>
        <w:rPr>
          <w:rFonts w:hint="eastAsia" w:ascii="仿宋" w:hAnsi="仿宋" w:eastAsia="仿宋" w:cs="仿宋"/>
          <w:color w:val="auto"/>
          <w:sz w:val="31"/>
          <w:szCs w:val="31"/>
          <w:lang w:val="en-US" w:eastAsia="zh-CN"/>
        </w:rPr>
        <w:t>其他一般公共支出95.45万元，农林水</w:t>
      </w:r>
      <w:r>
        <w:rPr>
          <w:rFonts w:ascii="仿宋" w:hAnsi="仿宋" w:eastAsia="仿宋" w:cs="仿宋"/>
          <w:color w:val="auto"/>
          <w:sz w:val="31"/>
          <w:szCs w:val="31"/>
        </w:rPr>
        <w:t>支出</w:t>
      </w:r>
      <w:r>
        <w:rPr>
          <w:rFonts w:hint="eastAsia" w:ascii="仿宋" w:hAnsi="仿宋" w:eastAsia="仿宋" w:cs="仿宋"/>
          <w:color w:val="auto"/>
          <w:sz w:val="31"/>
          <w:szCs w:val="31"/>
          <w:lang w:val="en-US" w:eastAsia="zh-CN"/>
        </w:rPr>
        <w:t>17.53万</w:t>
      </w:r>
      <w:r>
        <w:rPr>
          <w:rFonts w:ascii="仿宋" w:hAnsi="仿宋" w:eastAsia="仿宋" w:cs="仿宋"/>
          <w:color w:val="auto"/>
          <w:sz w:val="31"/>
          <w:szCs w:val="31"/>
        </w:rPr>
        <w:t>元，</w:t>
      </w:r>
      <w:r>
        <w:rPr>
          <w:rFonts w:hint="eastAsia" w:ascii="仿宋" w:hAnsi="仿宋" w:eastAsia="仿宋" w:cs="仿宋"/>
          <w:color w:val="auto"/>
          <w:sz w:val="31"/>
          <w:szCs w:val="31"/>
          <w:lang w:val="en-US" w:eastAsia="zh-CN"/>
        </w:rPr>
        <w:t>自然资源海洋气象等支出664.59万元，灾害防治及应急管理支出20万元</w:t>
      </w:r>
      <w:r>
        <w:rPr>
          <w:rFonts w:ascii="仿宋" w:hAnsi="仿宋" w:eastAsia="仿宋" w:cs="仿宋"/>
          <w:color w:val="auto"/>
          <w:sz w:val="31"/>
          <w:szCs w:val="31"/>
        </w:rPr>
        <w:t>。主要是用于基</w:t>
      </w:r>
      <w:r>
        <w:rPr>
          <w:rFonts w:ascii="仿宋" w:hAnsi="仿宋" w:eastAsia="仿宋" w:cs="仿宋"/>
          <w:color w:val="auto"/>
          <w:spacing w:val="8"/>
          <w:sz w:val="31"/>
          <w:szCs w:val="31"/>
        </w:rPr>
        <w:t>本工资、单位日常运转经费和公益林保护、确权登记等。</w:t>
      </w:r>
    </w:p>
    <w:p w14:paraId="2BA4FD03">
      <w:pPr>
        <w:spacing w:before="56" w:line="227" w:lineRule="auto"/>
        <w:ind w:left="645"/>
        <w:rPr>
          <w:rFonts w:ascii="仿宋" w:hAnsi="仿宋" w:eastAsia="仿宋" w:cs="仿宋"/>
          <w:color w:val="auto"/>
          <w:sz w:val="31"/>
          <w:szCs w:val="31"/>
        </w:rPr>
      </w:pPr>
      <w:r>
        <w:rPr>
          <w:rFonts w:ascii="仿宋" w:hAnsi="仿宋" w:eastAsia="仿宋" w:cs="仿宋"/>
          <w:color w:val="auto"/>
          <w:spacing w:val="8"/>
          <w:sz w:val="31"/>
          <w:szCs w:val="31"/>
        </w:rPr>
        <w:t>（三）一般公共预算财政拨款支出决算具体情况。</w:t>
      </w:r>
    </w:p>
    <w:p w14:paraId="70C0B778">
      <w:pPr>
        <w:spacing w:before="243" w:line="354" w:lineRule="auto"/>
        <w:ind w:right="72" w:firstLine="634"/>
        <w:rPr>
          <w:rFonts w:ascii="仿宋" w:hAnsi="仿宋" w:eastAsia="仿宋" w:cs="仿宋"/>
          <w:color w:val="auto"/>
          <w:sz w:val="31"/>
          <w:szCs w:val="31"/>
        </w:rPr>
      </w:pPr>
      <w:r>
        <w:rPr>
          <w:rFonts w:ascii="仿宋" w:hAnsi="仿宋" w:eastAsia="仿宋" w:cs="仿宋"/>
          <w:color w:val="auto"/>
          <w:spacing w:val="5"/>
          <w:sz w:val="31"/>
          <w:szCs w:val="31"/>
        </w:rPr>
        <w:t>202</w:t>
      </w:r>
      <w:r>
        <w:rPr>
          <w:rFonts w:hint="eastAsia" w:ascii="仿宋" w:hAnsi="仿宋" w:eastAsia="仿宋" w:cs="仿宋"/>
          <w:color w:val="auto"/>
          <w:spacing w:val="5"/>
          <w:sz w:val="31"/>
          <w:szCs w:val="31"/>
          <w:lang w:val="en-US" w:eastAsia="zh-CN"/>
        </w:rPr>
        <w:t>3</w:t>
      </w:r>
      <w:r>
        <w:rPr>
          <w:rFonts w:ascii="仿宋" w:hAnsi="仿宋" w:eastAsia="仿宋" w:cs="仿宋"/>
          <w:color w:val="auto"/>
          <w:spacing w:val="5"/>
          <w:sz w:val="31"/>
          <w:szCs w:val="31"/>
        </w:rPr>
        <w:t>年度一般公共预算财政拨款支出年初预算为</w:t>
      </w:r>
      <w:r>
        <w:rPr>
          <w:rFonts w:hint="eastAsia" w:ascii="仿宋" w:hAnsi="仿宋" w:eastAsia="仿宋" w:cs="仿宋"/>
          <w:color w:val="auto"/>
          <w:sz w:val="31"/>
          <w:szCs w:val="31"/>
          <w:lang w:val="en-US" w:eastAsia="zh-CN"/>
        </w:rPr>
        <w:t>2199.56万元</w:t>
      </w:r>
      <w:r>
        <w:rPr>
          <w:rFonts w:ascii="仿宋" w:hAnsi="仿宋" w:eastAsia="仿宋" w:cs="仿宋"/>
          <w:color w:val="auto"/>
          <w:spacing w:val="4"/>
          <w:sz w:val="31"/>
          <w:szCs w:val="31"/>
        </w:rPr>
        <w:t>，</w:t>
      </w:r>
      <w:r>
        <w:rPr>
          <w:rFonts w:ascii="仿宋" w:hAnsi="仿宋" w:eastAsia="仿宋" w:cs="仿宋"/>
          <w:color w:val="auto"/>
          <w:sz w:val="31"/>
          <w:szCs w:val="31"/>
        </w:rPr>
        <w:t xml:space="preserve"> </w:t>
      </w:r>
      <w:r>
        <w:rPr>
          <w:rFonts w:ascii="仿宋" w:hAnsi="仿宋" w:eastAsia="仿宋" w:cs="仿宋"/>
          <w:color w:val="auto"/>
          <w:spacing w:val="5"/>
          <w:sz w:val="31"/>
          <w:szCs w:val="31"/>
        </w:rPr>
        <w:t>支出决算为</w:t>
      </w:r>
      <w:r>
        <w:rPr>
          <w:rFonts w:ascii="仿宋" w:hAnsi="仿宋" w:eastAsia="仿宋" w:cs="仿宋"/>
          <w:color w:val="auto"/>
          <w:spacing w:val="-49"/>
          <w:sz w:val="31"/>
          <w:szCs w:val="31"/>
        </w:rPr>
        <w:t xml:space="preserve"> </w:t>
      </w:r>
      <w:r>
        <w:rPr>
          <w:rFonts w:hint="eastAsia" w:ascii="仿宋" w:hAnsi="仿宋" w:eastAsia="仿宋" w:cs="仿宋"/>
          <w:color w:val="auto"/>
          <w:spacing w:val="5"/>
          <w:sz w:val="31"/>
          <w:szCs w:val="31"/>
        </w:rPr>
        <w:t>797.56万元</w:t>
      </w:r>
      <w:r>
        <w:rPr>
          <w:rFonts w:ascii="仿宋" w:hAnsi="仿宋" w:eastAsia="仿宋" w:cs="仿宋"/>
          <w:color w:val="auto"/>
          <w:spacing w:val="5"/>
          <w:sz w:val="31"/>
          <w:szCs w:val="31"/>
        </w:rPr>
        <w:t>，完成年初预算的</w:t>
      </w:r>
      <w:r>
        <w:rPr>
          <w:rFonts w:ascii="仿宋" w:hAnsi="仿宋" w:eastAsia="仿宋" w:cs="仿宋"/>
          <w:color w:val="auto"/>
          <w:spacing w:val="-64"/>
          <w:sz w:val="31"/>
          <w:szCs w:val="31"/>
        </w:rPr>
        <w:t xml:space="preserve"> </w:t>
      </w:r>
      <w:r>
        <w:rPr>
          <w:rFonts w:hint="eastAsia" w:ascii="仿宋" w:hAnsi="仿宋" w:eastAsia="仿宋" w:cs="仿宋"/>
          <w:color w:val="auto"/>
          <w:spacing w:val="5"/>
          <w:sz w:val="31"/>
          <w:szCs w:val="31"/>
          <w:lang w:val="en-US" w:eastAsia="zh-CN"/>
        </w:rPr>
        <w:t>36</w:t>
      </w:r>
      <w:r>
        <w:rPr>
          <w:rFonts w:ascii="仿宋" w:hAnsi="仿宋" w:eastAsia="仿宋" w:cs="仿宋"/>
          <w:color w:val="auto"/>
          <w:spacing w:val="5"/>
          <w:sz w:val="31"/>
          <w:szCs w:val="31"/>
        </w:rPr>
        <w:t>%。其中：</w:t>
      </w:r>
    </w:p>
    <w:p w14:paraId="7712816A">
      <w:pPr>
        <w:spacing w:before="52" w:line="335" w:lineRule="auto"/>
        <w:ind w:left="1" w:firstLine="653"/>
        <w:rPr>
          <w:rFonts w:ascii="仿宋" w:hAnsi="仿宋" w:eastAsia="仿宋" w:cs="仿宋"/>
          <w:color w:val="auto"/>
          <w:spacing w:val="8"/>
          <w:sz w:val="31"/>
          <w:szCs w:val="31"/>
        </w:rPr>
      </w:pPr>
      <w:r>
        <w:rPr>
          <w:rFonts w:ascii="仿宋" w:hAnsi="仿宋" w:eastAsia="仿宋" w:cs="仿宋"/>
          <w:color w:val="auto"/>
          <w:spacing w:val="12"/>
          <w:sz w:val="31"/>
          <w:szCs w:val="31"/>
        </w:rPr>
        <w:t>1.自然资源海洋气象等支出(类)自然资源事务（款）行政运行</w:t>
      </w:r>
      <w:r>
        <w:rPr>
          <w:rFonts w:ascii="仿宋" w:hAnsi="仿宋" w:eastAsia="仿宋" w:cs="仿宋"/>
          <w:color w:val="auto"/>
          <w:sz w:val="31"/>
          <w:szCs w:val="31"/>
        </w:rPr>
        <w:t xml:space="preserve"> </w:t>
      </w:r>
      <w:r>
        <w:rPr>
          <w:rFonts w:ascii="仿宋" w:hAnsi="仿宋" w:eastAsia="仿宋" w:cs="仿宋"/>
          <w:color w:val="auto"/>
          <w:spacing w:val="6"/>
          <w:sz w:val="31"/>
          <w:szCs w:val="31"/>
        </w:rPr>
        <w:t>（项）</w:t>
      </w:r>
      <w:r>
        <w:rPr>
          <w:rFonts w:ascii="仿宋" w:hAnsi="仿宋" w:eastAsia="仿宋" w:cs="仿宋"/>
          <w:color w:val="auto"/>
          <w:spacing w:val="-87"/>
          <w:sz w:val="31"/>
          <w:szCs w:val="31"/>
        </w:rPr>
        <w:t xml:space="preserve"> </w:t>
      </w:r>
      <w:r>
        <w:rPr>
          <w:rFonts w:ascii="仿宋" w:hAnsi="仿宋" w:eastAsia="仿宋" w:cs="仿宋"/>
          <w:color w:val="auto"/>
          <w:spacing w:val="6"/>
          <w:sz w:val="31"/>
          <w:szCs w:val="31"/>
        </w:rPr>
        <w:t>。年初预算为</w:t>
      </w:r>
      <w:r>
        <w:rPr>
          <w:rFonts w:hint="eastAsia" w:ascii="仿宋" w:hAnsi="仿宋" w:eastAsia="仿宋" w:cs="仿宋"/>
          <w:color w:val="auto"/>
          <w:spacing w:val="6"/>
          <w:sz w:val="31"/>
          <w:szCs w:val="31"/>
          <w:lang w:val="en-US" w:eastAsia="zh-CN"/>
        </w:rPr>
        <w:t>212.05</w:t>
      </w:r>
      <w:r>
        <w:rPr>
          <w:rFonts w:ascii="仿宋" w:hAnsi="仿宋" w:eastAsia="仿宋" w:cs="仿宋"/>
          <w:color w:val="auto"/>
          <w:spacing w:val="6"/>
          <w:sz w:val="31"/>
          <w:szCs w:val="31"/>
        </w:rPr>
        <w:t>万元，支出决算为</w:t>
      </w:r>
      <w:r>
        <w:rPr>
          <w:rFonts w:hint="eastAsia" w:ascii="仿宋" w:hAnsi="仿宋" w:eastAsia="仿宋" w:cs="仿宋"/>
          <w:color w:val="auto"/>
          <w:spacing w:val="6"/>
          <w:sz w:val="31"/>
          <w:szCs w:val="31"/>
          <w:lang w:val="en-US" w:eastAsia="zh-CN"/>
        </w:rPr>
        <w:t>419.55万元</w:t>
      </w:r>
      <w:r>
        <w:rPr>
          <w:rFonts w:ascii="仿宋" w:hAnsi="仿宋" w:eastAsia="仿宋" w:cs="仿宋"/>
          <w:color w:val="auto"/>
          <w:spacing w:val="6"/>
          <w:sz w:val="31"/>
          <w:szCs w:val="31"/>
        </w:rPr>
        <w:t>，完成年初</w:t>
      </w:r>
      <w:r>
        <w:rPr>
          <w:rFonts w:ascii="仿宋" w:hAnsi="仿宋" w:eastAsia="仿宋" w:cs="仿宋"/>
          <w:color w:val="auto"/>
          <w:spacing w:val="8"/>
          <w:sz w:val="31"/>
          <w:szCs w:val="31"/>
        </w:rPr>
        <w:t>预算的93%，支出决算数</w:t>
      </w:r>
      <w:r>
        <w:rPr>
          <w:rFonts w:hint="eastAsia" w:ascii="仿宋" w:hAnsi="仿宋" w:eastAsia="仿宋" w:cs="仿宋"/>
          <w:color w:val="auto"/>
          <w:spacing w:val="8"/>
          <w:sz w:val="31"/>
          <w:szCs w:val="31"/>
          <w:lang w:val="en-US" w:eastAsia="zh-CN"/>
        </w:rPr>
        <w:t>大于</w:t>
      </w:r>
      <w:r>
        <w:rPr>
          <w:rFonts w:ascii="仿宋" w:hAnsi="仿宋" w:eastAsia="仿宋" w:cs="仿宋"/>
          <w:color w:val="auto"/>
          <w:spacing w:val="8"/>
          <w:sz w:val="31"/>
          <w:szCs w:val="31"/>
        </w:rPr>
        <w:t>年初预算数的主要原因是：</w:t>
      </w:r>
      <w:r>
        <w:rPr>
          <w:rFonts w:hint="eastAsia" w:ascii="仿宋" w:hAnsi="仿宋" w:eastAsia="仿宋" w:cs="仿宋"/>
          <w:color w:val="auto"/>
          <w:spacing w:val="8"/>
          <w:sz w:val="31"/>
          <w:szCs w:val="31"/>
        </w:rPr>
        <w:t>使用以前年度结转资金，导致实际支出超过预算。</w:t>
      </w:r>
    </w:p>
    <w:p w14:paraId="6E31C7E8">
      <w:pPr>
        <w:spacing w:before="243" w:line="342" w:lineRule="auto"/>
        <w:ind w:firstLine="634"/>
        <w:rPr>
          <w:rFonts w:ascii="仿宋" w:hAnsi="仿宋" w:eastAsia="仿宋" w:cs="仿宋"/>
          <w:color w:val="auto"/>
          <w:sz w:val="31"/>
          <w:szCs w:val="31"/>
        </w:rPr>
      </w:pPr>
      <w:r>
        <w:rPr>
          <w:rFonts w:ascii="仿宋" w:hAnsi="仿宋" w:eastAsia="仿宋" w:cs="仿宋"/>
          <w:color w:val="auto"/>
          <w:spacing w:val="13"/>
          <w:sz w:val="31"/>
          <w:szCs w:val="31"/>
        </w:rPr>
        <w:t>2.自然资源海洋气象等支出(类)自然</w:t>
      </w:r>
      <w:r>
        <w:rPr>
          <w:rFonts w:ascii="仿宋" w:hAnsi="仿宋" w:eastAsia="仿宋" w:cs="仿宋"/>
          <w:color w:val="auto"/>
          <w:spacing w:val="12"/>
          <w:sz w:val="31"/>
          <w:szCs w:val="31"/>
        </w:rPr>
        <w:t>资源事务（款）一般行政</w:t>
      </w:r>
      <w:r>
        <w:rPr>
          <w:rFonts w:ascii="仿宋" w:hAnsi="仿宋" w:eastAsia="仿宋" w:cs="仿宋"/>
          <w:color w:val="auto"/>
          <w:sz w:val="31"/>
          <w:szCs w:val="31"/>
        </w:rPr>
        <w:t xml:space="preserve"> </w:t>
      </w:r>
      <w:r>
        <w:rPr>
          <w:rFonts w:ascii="仿宋" w:hAnsi="仿宋" w:eastAsia="仿宋" w:cs="仿宋"/>
          <w:color w:val="auto"/>
          <w:spacing w:val="6"/>
          <w:sz w:val="31"/>
          <w:szCs w:val="31"/>
        </w:rPr>
        <w:t>管理事务（项）</w:t>
      </w:r>
      <w:r>
        <w:rPr>
          <w:rFonts w:ascii="仿宋" w:hAnsi="仿宋" w:eastAsia="仿宋" w:cs="仿宋"/>
          <w:color w:val="auto"/>
          <w:spacing w:val="-80"/>
          <w:sz w:val="31"/>
          <w:szCs w:val="31"/>
        </w:rPr>
        <w:t xml:space="preserve"> </w:t>
      </w:r>
      <w:r>
        <w:rPr>
          <w:rFonts w:ascii="仿宋" w:hAnsi="仿宋" w:eastAsia="仿宋" w:cs="仿宋"/>
          <w:color w:val="auto"/>
          <w:spacing w:val="6"/>
          <w:sz w:val="31"/>
          <w:szCs w:val="31"/>
        </w:rPr>
        <w:t>。年初预算为</w:t>
      </w:r>
      <w:r>
        <w:rPr>
          <w:rFonts w:hint="eastAsia" w:ascii="仿宋" w:hAnsi="仿宋" w:eastAsia="仿宋" w:cs="仿宋"/>
          <w:color w:val="auto"/>
          <w:spacing w:val="6"/>
          <w:sz w:val="31"/>
          <w:szCs w:val="31"/>
        </w:rPr>
        <w:t>1847.8</w:t>
      </w:r>
      <w:r>
        <w:rPr>
          <w:rFonts w:ascii="仿宋" w:hAnsi="仿宋" w:eastAsia="仿宋" w:cs="仿宋"/>
          <w:color w:val="auto"/>
          <w:spacing w:val="6"/>
          <w:sz w:val="31"/>
          <w:szCs w:val="31"/>
        </w:rPr>
        <w:t>万元，支出决算为</w:t>
      </w:r>
      <w:r>
        <w:rPr>
          <w:rFonts w:hint="eastAsia" w:ascii="仿宋" w:hAnsi="仿宋" w:eastAsia="仿宋" w:cs="仿宋"/>
          <w:color w:val="auto"/>
          <w:spacing w:val="6"/>
          <w:sz w:val="31"/>
          <w:szCs w:val="31"/>
          <w:lang w:val="en-US" w:eastAsia="zh-CN"/>
        </w:rPr>
        <w:t>166.29</w:t>
      </w:r>
      <w:r>
        <w:rPr>
          <w:rFonts w:hint="eastAsia" w:ascii="仿宋" w:hAnsi="仿宋" w:eastAsia="仿宋" w:cs="仿宋"/>
          <w:color w:val="auto"/>
          <w:spacing w:val="6"/>
          <w:sz w:val="31"/>
          <w:szCs w:val="31"/>
        </w:rPr>
        <w:t>万</w:t>
      </w:r>
      <w:r>
        <w:rPr>
          <w:rFonts w:ascii="仿宋" w:hAnsi="仿宋" w:eastAsia="仿宋" w:cs="仿宋"/>
          <w:color w:val="auto"/>
          <w:spacing w:val="6"/>
          <w:sz w:val="31"/>
          <w:szCs w:val="31"/>
        </w:rPr>
        <w:t>元，完</w:t>
      </w:r>
      <w:r>
        <w:rPr>
          <w:rFonts w:ascii="仿宋" w:hAnsi="仿宋" w:eastAsia="仿宋" w:cs="仿宋"/>
          <w:color w:val="auto"/>
          <w:sz w:val="31"/>
          <w:szCs w:val="31"/>
        </w:rPr>
        <w:t xml:space="preserve"> </w:t>
      </w:r>
      <w:r>
        <w:rPr>
          <w:rFonts w:ascii="仿宋" w:hAnsi="仿宋" w:eastAsia="仿宋" w:cs="仿宋"/>
          <w:color w:val="auto"/>
          <w:spacing w:val="7"/>
          <w:sz w:val="31"/>
          <w:szCs w:val="31"/>
        </w:rPr>
        <w:t>成年初预算的</w:t>
      </w:r>
      <w:r>
        <w:rPr>
          <w:rFonts w:ascii="仿宋" w:hAnsi="仿宋" w:eastAsia="仿宋" w:cs="仿宋"/>
          <w:color w:val="auto"/>
          <w:spacing w:val="-55"/>
          <w:sz w:val="31"/>
          <w:szCs w:val="31"/>
        </w:rPr>
        <w:t xml:space="preserve"> </w:t>
      </w:r>
      <w:r>
        <w:rPr>
          <w:rFonts w:hint="eastAsia" w:ascii="仿宋" w:hAnsi="仿宋" w:eastAsia="仿宋" w:cs="仿宋"/>
          <w:color w:val="auto"/>
          <w:spacing w:val="7"/>
          <w:sz w:val="31"/>
          <w:szCs w:val="31"/>
          <w:lang w:val="en-US" w:eastAsia="zh-CN"/>
        </w:rPr>
        <w:t>9</w:t>
      </w:r>
      <w:r>
        <w:rPr>
          <w:rFonts w:ascii="仿宋" w:hAnsi="仿宋" w:eastAsia="仿宋" w:cs="仿宋"/>
          <w:color w:val="auto"/>
          <w:spacing w:val="7"/>
          <w:sz w:val="31"/>
          <w:szCs w:val="31"/>
        </w:rPr>
        <w:t>%，支出决算数小于年初预算数的主要原因：年初预</w:t>
      </w:r>
      <w:r>
        <w:rPr>
          <w:rFonts w:ascii="仿宋" w:hAnsi="仿宋" w:eastAsia="仿宋" w:cs="仿宋"/>
          <w:color w:val="auto"/>
          <w:spacing w:val="13"/>
          <w:sz w:val="31"/>
          <w:szCs w:val="31"/>
        </w:rPr>
        <w:t>算中财政拨款收入包含上级补助收入，年终决算的财政拨款收入指的</w:t>
      </w:r>
      <w:r>
        <w:rPr>
          <w:rFonts w:ascii="仿宋" w:hAnsi="仿宋" w:eastAsia="仿宋" w:cs="仿宋"/>
          <w:color w:val="auto"/>
          <w:spacing w:val="5"/>
          <w:sz w:val="31"/>
          <w:szCs w:val="31"/>
        </w:rPr>
        <w:t>是区级财政收入。</w:t>
      </w:r>
    </w:p>
    <w:p w14:paraId="06515693">
      <w:pPr>
        <w:spacing w:line="241" w:lineRule="auto"/>
        <w:rPr>
          <w:rFonts w:ascii="Arial"/>
          <w:color w:val="auto"/>
          <w:sz w:val="21"/>
        </w:rPr>
      </w:pPr>
    </w:p>
    <w:p w14:paraId="5E655F44">
      <w:pPr>
        <w:pStyle w:val="2"/>
        <w:spacing w:before="102" w:line="226" w:lineRule="auto"/>
        <w:ind w:left="642"/>
        <w:outlineLvl w:val="0"/>
        <w:rPr>
          <w:color w:val="auto"/>
        </w:rPr>
      </w:pPr>
      <w:r>
        <w:rPr>
          <w:color w:val="auto"/>
          <w:spacing w:val="9"/>
        </w:rPr>
        <w:t>六、一般公共预算财政拨款基本支出决算情</w:t>
      </w:r>
      <w:r>
        <w:rPr>
          <w:color w:val="auto"/>
          <w:spacing w:val="8"/>
        </w:rPr>
        <w:t>况说明</w:t>
      </w:r>
    </w:p>
    <w:p w14:paraId="6D19C475">
      <w:pPr>
        <w:spacing w:before="244" w:line="227" w:lineRule="auto"/>
        <w:ind w:left="634"/>
        <w:rPr>
          <w:rFonts w:ascii="仿宋" w:hAnsi="仿宋" w:eastAsia="仿宋" w:cs="仿宋"/>
          <w:color w:val="auto"/>
          <w:sz w:val="31"/>
          <w:szCs w:val="31"/>
        </w:rPr>
      </w:pPr>
      <w:r>
        <w:rPr>
          <w:rFonts w:ascii="仿宋" w:hAnsi="仿宋" w:eastAsia="仿宋" w:cs="仿宋"/>
          <w:color w:val="auto"/>
          <w:spacing w:val="5"/>
          <w:sz w:val="31"/>
          <w:szCs w:val="31"/>
        </w:rPr>
        <w:t>202</w:t>
      </w:r>
      <w:r>
        <w:rPr>
          <w:rFonts w:hint="eastAsia" w:ascii="仿宋" w:hAnsi="仿宋" w:eastAsia="仿宋" w:cs="仿宋"/>
          <w:color w:val="auto"/>
          <w:spacing w:val="5"/>
          <w:sz w:val="31"/>
          <w:szCs w:val="31"/>
          <w:lang w:val="en-US" w:eastAsia="zh-CN"/>
        </w:rPr>
        <w:t>3</w:t>
      </w:r>
      <w:r>
        <w:rPr>
          <w:rFonts w:ascii="仿宋" w:hAnsi="仿宋" w:eastAsia="仿宋" w:cs="仿宋"/>
          <w:color w:val="auto"/>
          <w:spacing w:val="-31"/>
          <w:sz w:val="31"/>
          <w:szCs w:val="31"/>
        </w:rPr>
        <w:t xml:space="preserve"> </w:t>
      </w:r>
      <w:r>
        <w:rPr>
          <w:rFonts w:ascii="仿宋" w:hAnsi="仿宋" w:eastAsia="仿宋" w:cs="仿宋"/>
          <w:color w:val="auto"/>
          <w:spacing w:val="5"/>
          <w:sz w:val="31"/>
          <w:szCs w:val="31"/>
        </w:rPr>
        <w:t>年度一般公共预算财政拨款基本支出</w:t>
      </w:r>
      <w:r>
        <w:rPr>
          <w:rFonts w:hint="eastAsia" w:ascii="仿宋" w:hAnsi="仿宋" w:eastAsia="仿宋" w:cs="仿宋"/>
          <w:color w:val="auto"/>
          <w:spacing w:val="6"/>
          <w:sz w:val="31"/>
          <w:szCs w:val="31"/>
          <w:lang w:val="en-US" w:eastAsia="zh-CN"/>
        </w:rPr>
        <w:t>228.51</w:t>
      </w:r>
      <w:r>
        <w:rPr>
          <w:rFonts w:hint="eastAsia" w:ascii="仿宋" w:hAnsi="仿宋" w:eastAsia="仿宋" w:cs="仿宋"/>
          <w:color w:val="auto"/>
          <w:spacing w:val="6"/>
          <w:sz w:val="31"/>
          <w:szCs w:val="31"/>
        </w:rPr>
        <w:t>万</w:t>
      </w:r>
      <w:r>
        <w:rPr>
          <w:rFonts w:ascii="仿宋" w:hAnsi="仿宋" w:eastAsia="仿宋" w:cs="仿宋"/>
          <w:color w:val="auto"/>
          <w:spacing w:val="5"/>
          <w:sz w:val="31"/>
          <w:szCs w:val="31"/>
        </w:rPr>
        <w:t>元，其中：</w:t>
      </w:r>
    </w:p>
    <w:p w14:paraId="4341CF3D">
      <w:pPr>
        <w:spacing w:before="243" w:line="365" w:lineRule="auto"/>
        <w:ind w:right="2" w:firstLine="645"/>
        <w:rPr>
          <w:rFonts w:ascii="仿宋" w:hAnsi="仿宋" w:eastAsia="仿宋" w:cs="仿宋"/>
          <w:color w:val="auto"/>
          <w:sz w:val="31"/>
          <w:szCs w:val="31"/>
        </w:rPr>
      </w:pPr>
      <w:r>
        <w:rPr>
          <w:rFonts w:ascii="仿宋" w:hAnsi="仿宋" w:eastAsia="仿宋" w:cs="仿宋"/>
          <w:color w:val="auto"/>
          <w:spacing w:val="11"/>
          <w:sz w:val="31"/>
          <w:szCs w:val="31"/>
        </w:rPr>
        <w:t>人员经费</w:t>
      </w:r>
      <w:r>
        <w:rPr>
          <w:rFonts w:ascii="仿宋" w:hAnsi="仿宋" w:eastAsia="仿宋" w:cs="仿宋"/>
          <w:color w:val="auto"/>
          <w:spacing w:val="-50"/>
          <w:sz w:val="31"/>
          <w:szCs w:val="31"/>
        </w:rPr>
        <w:t xml:space="preserve"> </w:t>
      </w:r>
      <w:r>
        <w:rPr>
          <w:rFonts w:hint="eastAsia" w:ascii="仿宋" w:hAnsi="仿宋" w:eastAsia="仿宋" w:cs="仿宋"/>
          <w:color w:val="auto"/>
          <w:spacing w:val="11"/>
          <w:sz w:val="31"/>
          <w:szCs w:val="31"/>
          <w:lang w:val="en-US" w:eastAsia="zh-CN"/>
        </w:rPr>
        <w:t>212.05</w:t>
      </w:r>
      <w:r>
        <w:rPr>
          <w:rFonts w:ascii="仿宋" w:hAnsi="仿宋" w:eastAsia="仿宋" w:cs="仿宋"/>
          <w:color w:val="auto"/>
          <w:spacing w:val="11"/>
          <w:sz w:val="31"/>
          <w:szCs w:val="31"/>
        </w:rPr>
        <w:t>万元，主要包括：基本工资、</w:t>
      </w:r>
      <w:r>
        <w:rPr>
          <w:rFonts w:ascii="仿宋" w:hAnsi="仿宋" w:eastAsia="仿宋" w:cs="仿宋"/>
          <w:color w:val="auto"/>
          <w:spacing w:val="10"/>
          <w:sz w:val="31"/>
          <w:szCs w:val="31"/>
        </w:rPr>
        <w:t>津贴补贴、奖金、</w:t>
      </w:r>
      <w:r>
        <w:rPr>
          <w:rFonts w:ascii="仿宋" w:hAnsi="仿宋" w:eastAsia="仿宋" w:cs="仿宋"/>
          <w:color w:val="auto"/>
          <w:sz w:val="31"/>
          <w:szCs w:val="31"/>
        </w:rPr>
        <w:t xml:space="preserve"> </w:t>
      </w:r>
      <w:r>
        <w:rPr>
          <w:rFonts w:ascii="仿宋" w:hAnsi="仿宋" w:eastAsia="仿宋" w:cs="仿宋"/>
          <w:color w:val="auto"/>
          <w:spacing w:val="13"/>
          <w:sz w:val="31"/>
          <w:szCs w:val="31"/>
        </w:rPr>
        <w:t>伙食补助费、绩效工资、机关事业单位基本养老保险缴费、职业年金</w:t>
      </w:r>
      <w:r>
        <w:rPr>
          <w:rFonts w:ascii="仿宋" w:hAnsi="仿宋" w:eastAsia="仿宋" w:cs="仿宋"/>
          <w:color w:val="auto"/>
          <w:spacing w:val="14"/>
          <w:sz w:val="31"/>
          <w:szCs w:val="31"/>
        </w:rPr>
        <w:t xml:space="preserve"> </w:t>
      </w:r>
      <w:r>
        <w:rPr>
          <w:rFonts w:ascii="仿宋" w:hAnsi="仿宋" w:eastAsia="仿宋" w:cs="仿宋"/>
          <w:color w:val="auto"/>
          <w:spacing w:val="13"/>
          <w:sz w:val="31"/>
          <w:szCs w:val="31"/>
        </w:rPr>
        <w:t>缴费、职工基本医疗保险缴费、公务员医疗补助缴费、其他社会保障</w:t>
      </w:r>
      <w:r>
        <w:rPr>
          <w:rFonts w:ascii="仿宋" w:hAnsi="仿宋" w:eastAsia="仿宋" w:cs="仿宋"/>
          <w:color w:val="auto"/>
          <w:spacing w:val="14"/>
          <w:sz w:val="31"/>
          <w:szCs w:val="31"/>
        </w:rPr>
        <w:t xml:space="preserve"> </w:t>
      </w:r>
      <w:r>
        <w:rPr>
          <w:rFonts w:ascii="仿宋" w:hAnsi="仿宋" w:eastAsia="仿宋" w:cs="仿宋"/>
          <w:color w:val="auto"/>
          <w:spacing w:val="13"/>
          <w:sz w:val="31"/>
          <w:szCs w:val="31"/>
        </w:rPr>
        <w:t>缴费、住房公积金、医疗费、其他工资福利支出、离休费、退休费、</w:t>
      </w:r>
      <w:r>
        <w:rPr>
          <w:rFonts w:ascii="仿宋" w:hAnsi="仿宋" w:eastAsia="仿宋" w:cs="仿宋"/>
          <w:color w:val="auto"/>
          <w:spacing w:val="14"/>
          <w:sz w:val="31"/>
          <w:szCs w:val="31"/>
        </w:rPr>
        <w:t xml:space="preserve"> </w:t>
      </w:r>
      <w:r>
        <w:rPr>
          <w:rFonts w:ascii="仿宋" w:hAnsi="仿宋" w:eastAsia="仿宋" w:cs="仿宋"/>
          <w:color w:val="auto"/>
          <w:spacing w:val="13"/>
          <w:sz w:val="31"/>
          <w:szCs w:val="31"/>
        </w:rPr>
        <w:t>退职(役)费、抚恤金、生活补助、救济费、医疗费补助、助学金、奖励金、个人农业生产补贴、代缴社会保险费、其他对个人和家庭的补</w:t>
      </w:r>
      <w:r>
        <w:rPr>
          <w:rFonts w:ascii="仿宋" w:hAnsi="仿宋" w:eastAsia="仿宋" w:cs="仿宋"/>
          <w:color w:val="auto"/>
          <w:spacing w:val="11"/>
          <w:sz w:val="31"/>
          <w:szCs w:val="31"/>
        </w:rPr>
        <w:t xml:space="preserve"> </w:t>
      </w:r>
      <w:r>
        <w:rPr>
          <w:rFonts w:ascii="仿宋" w:hAnsi="仿宋" w:eastAsia="仿宋" w:cs="仿宋"/>
          <w:color w:val="auto"/>
          <w:spacing w:val="-6"/>
          <w:sz w:val="31"/>
          <w:szCs w:val="31"/>
        </w:rPr>
        <w:t>助。</w:t>
      </w:r>
    </w:p>
    <w:p w14:paraId="4C1B9B65">
      <w:pPr>
        <w:spacing w:before="48" w:line="367" w:lineRule="auto"/>
        <w:ind w:right="2" w:firstLine="647"/>
        <w:rPr>
          <w:rFonts w:ascii="仿宋" w:hAnsi="仿宋" w:eastAsia="仿宋" w:cs="仿宋"/>
          <w:color w:val="auto"/>
          <w:sz w:val="31"/>
          <w:szCs w:val="31"/>
        </w:rPr>
      </w:pPr>
      <w:r>
        <w:rPr>
          <w:rFonts w:ascii="仿宋" w:hAnsi="仿宋" w:eastAsia="仿宋" w:cs="仿宋"/>
          <w:color w:val="auto"/>
          <w:spacing w:val="10"/>
          <w:sz w:val="31"/>
          <w:szCs w:val="31"/>
        </w:rPr>
        <w:t>公用经费</w:t>
      </w:r>
      <w:r>
        <w:rPr>
          <w:rFonts w:hint="eastAsia" w:ascii="仿宋" w:hAnsi="仿宋" w:eastAsia="仿宋" w:cs="仿宋"/>
          <w:color w:val="auto"/>
          <w:spacing w:val="11"/>
          <w:sz w:val="31"/>
          <w:szCs w:val="31"/>
          <w:lang w:val="en-US" w:eastAsia="zh-CN"/>
        </w:rPr>
        <w:t>16.45万</w:t>
      </w:r>
      <w:r>
        <w:rPr>
          <w:rFonts w:ascii="仿宋" w:hAnsi="仿宋" w:eastAsia="仿宋" w:cs="仿宋"/>
          <w:color w:val="auto"/>
          <w:spacing w:val="10"/>
          <w:sz w:val="31"/>
          <w:szCs w:val="31"/>
        </w:rPr>
        <w:t>元，主要包括：办公费、印刷费、咨询费、手</w:t>
      </w:r>
      <w:r>
        <w:rPr>
          <w:rFonts w:ascii="仿宋" w:hAnsi="仿宋" w:eastAsia="仿宋" w:cs="仿宋"/>
          <w:color w:val="auto"/>
          <w:sz w:val="31"/>
          <w:szCs w:val="31"/>
        </w:rPr>
        <w:t xml:space="preserve"> </w:t>
      </w:r>
      <w:r>
        <w:rPr>
          <w:rFonts w:ascii="仿宋" w:hAnsi="仿宋" w:eastAsia="仿宋" w:cs="仿宋"/>
          <w:color w:val="auto"/>
          <w:spacing w:val="9"/>
          <w:sz w:val="31"/>
          <w:szCs w:val="31"/>
        </w:rPr>
        <w:t>续费、水费、</w:t>
      </w:r>
      <w:r>
        <w:rPr>
          <w:rFonts w:ascii="仿宋" w:hAnsi="仿宋" w:eastAsia="仿宋" w:cs="仿宋"/>
          <w:color w:val="auto"/>
          <w:spacing w:val="-85"/>
          <w:sz w:val="31"/>
          <w:szCs w:val="31"/>
        </w:rPr>
        <w:t xml:space="preserve"> </w:t>
      </w:r>
      <w:r>
        <w:rPr>
          <w:rFonts w:ascii="仿宋" w:hAnsi="仿宋" w:eastAsia="仿宋" w:cs="仿宋"/>
          <w:color w:val="auto"/>
          <w:spacing w:val="9"/>
          <w:sz w:val="31"/>
          <w:szCs w:val="31"/>
        </w:rPr>
        <w:t>电费、邮电费、取暖费、物业管理费、差旅费、</w:t>
      </w:r>
      <w:r>
        <w:rPr>
          <w:rFonts w:ascii="仿宋" w:hAnsi="仿宋" w:eastAsia="仿宋" w:cs="仿宋"/>
          <w:color w:val="auto"/>
          <w:spacing w:val="-91"/>
          <w:sz w:val="31"/>
          <w:szCs w:val="31"/>
        </w:rPr>
        <w:t xml:space="preserve"> </w:t>
      </w:r>
      <w:r>
        <w:rPr>
          <w:rFonts w:ascii="仿宋" w:hAnsi="仿宋" w:eastAsia="仿宋" w:cs="仿宋"/>
          <w:color w:val="auto"/>
          <w:spacing w:val="9"/>
          <w:sz w:val="31"/>
          <w:szCs w:val="31"/>
        </w:rPr>
        <w:t>因公出</w:t>
      </w:r>
      <w:r>
        <w:rPr>
          <w:rFonts w:ascii="仿宋" w:hAnsi="仿宋" w:eastAsia="仿宋" w:cs="仿宋"/>
          <w:color w:val="auto"/>
          <w:sz w:val="31"/>
          <w:szCs w:val="31"/>
        </w:rPr>
        <w:t xml:space="preserve"> </w:t>
      </w:r>
      <w:r>
        <w:rPr>
          <w:rFonts w:ascii="仿宋" w:hAnsi="仿宋" w:eastAsia="仿宋" w:cs="仿宋"/>
          <w:color w:val="auto"/>
          <w:spacing w:val="13"/>
          <w:sz w:val="31"/>
          <w:szCs w:val="31"/>
        </w:rPr>
        <w:t>国(境)费用、维修(护)费、租赁费、会议</w:t>
      </w:r>
      <w:r>
        <w:rPr>
          <w:rFonts w:ascii="仿宋" w:hAnsi="仿宋" w:eastAsia="仿宋" w:cs="仿宋"/>
          <w:color w:val="auto"/>
          <w:spacing w:val="12"/>
          <w:sz w:val="31"/>
          <w:szCs w:val="31"/>
        </w:rPr>
        <w:t>费、培训费、公务接待费、</w:t>
      </w:r>
      <w:r>
        <w:rPr>
          <w:rFonts w:ascii="仿宋" w:hAnsi="仿宋" w:eastAsia="仿宋" w:cs="仿宋"/>
          <w:color w:val="auto"/>
          <w:sz w:val="31"/>
          <w:szCs w:val="31"/>
        </w:rPr>
        <w:t xml:space="preserve"> </w:t>
      </w:r>
      <w:r>
        <w:rPr>
          <w:rFonts w:ascii="仿宋" w:hAnsi="仿宋" w:eastAsia="仿宋" w:cs="仿宋"/>
          <w:color w:val="auto"/>
          <w:spacing w:val="13"/>
          <w:sz w:val="31"/>
          <w:szCs w:val="31"/>
        </w:rPr>
        <w:t>专用材料费、被装购置费、专用燃料费、劳务费、委托业务费、工会</w:t>
      </w:r>
      <w:r>
        <w:rPr>
          <w:rFonts w:ascii="仿宋" w:hAnsi="仿宋" w:eastAsia="仿宋" w:cs="仿宋"/>
          <w:color w:val="auto"/>
          <w:spacing w:val="14"/>
          <w:sz w:val="31"/>
          <w:szCs w:val="31"/>
        </w:rPr>
        <w:t xml:space="preserve"> </w:t>
      </w:r>
      <w:r>
        <w:rPr>
          <w:rFonts w:ascii="仿宋" w:hAnsi="仿宋" w:eastAsia="仿宋" w:cs="仿宋"/>
          <w:color w:val="auto"/>
          <w:spacing w:val="13"/>
          <w:sz w:val="31"/>
          <w:szCs w:val="31"/>
        </w:rPr>
        <w:t>经费、福利费、公务用车运行维护费、其他交通费用、税金及附加费</w:t>
      </w:r>
      <w:r>
        <w:rPr>
          <w:rFonts w:ascii="仿宋" w:hAnsi="仿宋" w:eastAsia="仿宋" w:cs="仿宋"/>
          <w:color w:val="auto"/>
          <w:spacing w:val="14"/>
          <w:sz w:val="31"/>
          <w:szCs w:val="31"/>
        </w:rPr>
        <w:t xml:space="preserve"> </w:t>
      </w:r>
      <w:r>
        <w:rPr>
          <w:rFonts w:ascii="仿宋" w:hAnsi="仿宋" w:eastAsia="仿宋" w:cs="仿宋"/>
          <w:color w:val="auto"/>
          <w:spacing w:val="13"/>
          <w:sz w:val="31"/>
          <w:szCs w:val="31"/>
        </w:rPr>
        <w:t>用、其他商品和服务支出、办公设备购置、专用设备购置、信息网络</w:t>
      </w:r>
      <w:r>
        <w:rPr>
          <w:rFonts w:ascii="仿宋" w:hAnsi="仿宋" w:eastAsia="仿宋" w:cs="仿宋"/>
          <w:color w:val="auto"/>
          <w:spacing w:val="14"/>
          <w:sz w:val="31"/>
          <w:szCs w:val="31"/>
        </w:rPr>
        <w:t xml:space="preserve"> </w:t>
      </w:r>
      <w:r>
        <w:rPr>
          <w:rFonts w:ascii="仿宋" w:hAnsi="仿宋" w:eastAsia="仿宋" w:cs="仿宋"/>
          <w:color w:val="auto"/>
          <w:spacing w:val="8"/>
          <w:sz w:val="31"/>
          <w:szCs w:val="31"/>
        </w:rPr>
        <w:t>及软件购置更新、公务用车购置、其他资本性支出。</w:t>
      </w:r>
    </w:p>
    <w:p w14:paraId="24F128D5">
      <w:pPr>
        <w:pStyle w:val="2"/>
        <w:spacing w:before="58" w:line="356" w:lineRule="auto"/>
        <w:ind w:left="642" w:right="1730" w:hanging="11"/>
        <w:rPr>
          <w:rFonts w:ascii="仿宋" w:hAnsi="仿宋" w:eastAsia="仿宋" w:cs="仿宋"/>
          <w:color w:val="auto"/>
        </w:rPr>
      </w:pPr>
      <w:r>
        <w:rPr>
          <w:color w:val="auto"/>
          <w:spacing w:val="9"/>
        </w:rPr>
        <w:t>七、政府性基金预算财政拨款收入支出决算情况说明</w:t>
      </w:r>
      <w:r>
        <w:rPr>
          <w:color w:val="auto"/>
          <w:spacing w:val="8"/>
        </w:rPr>
        <w:t xml:space="preserve"> </w:t>
      </w:r>
      <w:r>
        <w:rPr>
          <w:rFonts w:ascii="仿宋" w:hAnsi="仿宋" w:eastAsia="仿宋" w:cs="仿宋"/>
          <w:color w:val="auto"/>
          <w:spacing w:val="8"/>
        </w:rPr>
        <w:t>本单位当年无政府性基金预算财政拨款收入支出。</w:t>
      </w:r>
    </w:p>
    <w:p w14:paraId="29877AB4">
      <w:pPr>
        <w:spacing w:before="52" w:line="354" w:lineRule="auto"/>
        <w:ind w:left="18" w:right="2" w:firstLine="617"/>
        <w:rPr>
          <w:rFonts w:ascii="仿宋" w:hAnsi="仿宋" w:eastAsia="仿宋" w:cs="仿宋"/>
          <w:color w:val="auto"/>
          <w:sz w:val="31"/>
          <w:szCs w:val="31"/>
        </w:rPr>
      </w:pPr>
      <w:r>
        <w:rPr>
          <w:rFonts w:ascii="仿宋" w:hAnsi="仿宋" w:eastAsia="仿宋" w:cs="仿宋"/>
          <w:color w:val="auto"/>
          <w:spacing w:val="8"/>
          <w:sz w:val="31"/>
          <w:szCs w:val="31"/>
        </w:rPr>
        <w:t>202</w:t>
      </w:r>
      <w:r>
        <w:rPr>
          <w:rFonts w:hint="eastAsia" w:ascii="仿宋" w:hAnsi="仿宋" w:eastAsia="仿宋" w:cs="仿宋"/>
          <w:color w:val="auto"/>
          <w:spacing w:val="8"/>
          <w:sz w:val="31"/>
          <w:szCs w:val="31"/>
          <w:lang w:val="en-US" w:eastAsia="zh-CN"/>
        </w:rPr>
        <w:t>3</w:t>
      </w:r>
      <w:r>
        <w:rPr>
          <w:rFonts w:ascii="仿宋" w:hAnsi="仿宋" w:eastAsia="仿宋" w:cs="仿宋"/>
          <w:color w:val="auto"/>
          <w:spacing w:val="-47"/>
          <w:sz w:val="31"/>
          <w:szCs w:val="31"/>
        </w:rPr>
        <w:t xml:space="preserve"> </w:t>
      </w:r>
      <w:r>
        <w:rPr>
          <w:rFonts w:ascii="仿宋" w:hAnsi="仿宋" w:eastAsia="仿宋" w:cs="仿宋"/>
          <w:color w:val="auto"/>
          <w:spacing w:val="8"/>
          <w:sz w:val="31"/>
          <w:szCs w:val="31"/>
        </w:rPr>
        <w:t>年度政府性基金预算财政拨款年初结转和</w:t>
      </w:r>
      <w:r>
        <w:rPr>
          <w:rFonts w:ascii="仿宋" w:hAnsi="仿宋" w:eastAsia="仿宋" w:cs="仿宋"/>
          <w:color w:val="auto"/>
          <w:spacing w:val="7"/>
          <w:sz w:val="31"/>
          <w:szCs w:val="31"/>
        </w:rPr>
        <w:t>结余</w:t>
      </w:r>
      <w:r>
        <w:rPr>
          <w:rFonts w:ascii="仿宋" w:hAnsi="仿宋" w:eastAsia="仿宋" w:cs="仿宋"/>
          <w:color w:val="auto"/>
          <w:spacing w:val="-57"/>
          <w:sz w:val="31"/>
          <w:szCs w:val="31"/>
        </w:rPr>
        <w:t xml:space="preserve"> </w:t>
      </w:r>
      <w:r>
        <w:rPr>
          <w:rFonts w:ascii="仿宋" w:hAnsi="仿宋" w:eastAsia="仿宋" w:cs="仿宋"/>
          <w:color w:val="auto"/>
          <w:spacing w:val="7"/>
          <w:sz w:val="31"/>
          <w:szCs w:val="31"/>
        </w:rPr>
        <w:t>0</w:t>
      </w:r>
      <w:r>
        <w:rPr>
          <w:rFonts w:ascii="仿宋" w:hAnsi="仿宋" w:eastAsia="仿宋" w:cs="仿宋"/>
          <w:color w:val="auto"/>
          <w:spacing w:val="-48"/>
          <w:sz w:val="31"/>
          <w:szCs w:val="31"/>
        </w:rPr>
        <w:t xml:space="preserve"> </w:t>
      </w:r>
      <w:r>
        <w:rPr>
          <w:rFonts w:ascii="仿宋" w:hAnsi="仿宋" w:eastAsia="仿宋" w:cs="仿宋"/>
          <w:color w:val="auto"/>
          <w:spacing w:val="7"/>
          <w:sz w:val="31"/>
          <w:szCs w:val="31"/>
        </w:rPr>
        <w:t>万元，本年</w:t>
      </w:r>
      <w:r>
        <w:rPr>
          <w:rFonts w:ascii="仿宋" w:hAnsi="仿宋" w:eastAsia="仿宋" w:cs="仿宋"/>
          <w:color w:val="auto"/>
          <w:sz w:val="31"/>
          <w:szCs w:val="31"/>
        </w:rPr>
        <w:t xml:space="preserve"> </w:t>
      </w:r>
      <w:r>
        <w:rPr>
          <w:rFonts w:ascii="仿宋" w:hAnsi="仿宋" w:eastAsia="仿宋" w:cs="仿宋"/>
          <w:color w:val="auto"/>
          <w:spacing w:val="2"/>
          <w:sz w:val="31"/>
          <w:szCs w:val="31"/>
        </w:rPr>
        <w:t>收入</w:t>
      </w:r>
      <w:r>
        <w:rPr>
          <w:rFonts w:ascii="仿宋" w:hAnsi="仿宋" w:eastAsia="仿宋" w:cs="仿宋"/>
          <w:color w:val="auto"/>
          <w:spacing w:val="-44"/>
          <w:sz w:val="31"/>
          <w:szCs w:val="31"/>
        </w:rPr>
        <w:t xml:space="preserve"> </w:t>
      </w:r>
      <w:r>
        <w:rPr>
          <w:rFonts w:ascii="仿宋" w:hAnsi="仿宋" w:eastAsia="仿宋" w:cs="仿宋"/>
          <w:color w:val="auto"/>
          <w:spacing w:val="2"/>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万元，本年支出</w:t>
      </w:r>
      <w:r>
        <w:rPr>
          <w:rFonts w:ascii="仿宋" w:hAnsi="仿宋" w:eastAsia="仿宋" w:cs="仿宋"/>
          <w:color w:val="auto"/>
          <w:spacing w:val="-59"/>
          <w:sz w:val="31"/>
          <w:szCs w:val="31"/>
        </w:rPr>
        <w:t xml:space="preserve"> </w:t>
      </w:r>
      <w:r>
        <w:rPr>
          <w:rFonts w:ascii="仿宋" w:hAnsi="仿宋" w:eastAsia="仿宋" w:cs="仿宋"/>
          <w:color w:val="auto"/>
          <w:spacing w:val="2"/>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万元，年末结转和结余</w:t>
      </w:r>
      <w:r>
        <w:rPr>
          <w:rFonts w:ascii="仿宋" w:hAnsi="仿宋" w:eastAsia="仿宋" w:cs="仿宋"/>
          <w:color w:val="auto"/>
          <w:spacing w:val="-62"/>
          <w:sz w:val="31"/>
          <w:szCs w:val="31"/>
        </w:rPr>
        <w:t xml:space="preserve"> </w:t>
      </w:r>
      <w:r>
        <w:rPr>
          <w:rFonts w:ascii="仿宋" w:hAnsi="仿宋" w:eastAsia="仿宋" w:cs="仿宋"/>
          <w:color w:val="auto"/>
          <w:spacing w:val="2"/>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万元。</w:t>
      </w:r>
    </w:p>
    <w:p w14:paraId="3E9FB083">
      <w:pPr>
        <w:pStyle w:val="2"/>
        <w:spacing w:before="58" w:line="299" w:lineRule="auto"/>
        <w:ind w:left="642" w:right="2052" w:hanging="9"/>
        <w:rPr>
          <w:rFonts w:ascii="仿宋" w:hAnsi="仿宋" w:eastAsia="仿宋" w:cs="仿宋"/>
          <w:color w:val="auto"/>
        </w:rPr>
      </w:pPr>
      <w:r>
        <w:rPr>
          <w:color w:val="auto"/>
          <w:spacing w:val="9"/>
        </w:rPr>
        <w:t>八、国有资本经营预算财政拨款支出决算情况说明</w:t>
      </w:r>
      <w:r>
        <w:rPr>
          <w:color w:val="auto"/>
          <w:spacing w:val="4"/>
        </w:rPr>
        <w:t xml:space="preserve"> </w:t>
      </w:r>
      <w:r>
        <w:rPr>
          <w:rFonts w:ascii="仿宋" w:hAnsi="仿宋" w:eastAsia="仿宋" w:cs="仿宋"/>
          <w:color w:val="auto"/>
          <w:spacing w:val="8"/>
        </w:rPr>
        <w:t>本单位当年无国有资本经营预算财政拨款支出。</w:t>
      </w:r>
    </w:p>
    <w:p w14:paraId="7A210A6E">
      <w:pPr>
        <w:pStyle w:val="2"/>
        <w:spacing w:before="138" w:line="226" w:lineRule="auto"/>
        <w:ind w:left="640"/>
        <w:rPr>
          <w:color w:val="auto"/>
        </w:rPr>
      </w:pPr>
      <w:r>
        <w:rPr>
          <w:color w:val="auto"/>
          <w:spacing w:val="8"/>
        </w:rPr>
        <w:t>九、财政拨款“三公”经费支出决算情况说明</w:t>
      </w:r>
    </w:p>
    <w:p w14:paraId="5AEA2308">
      <w:pPr>
        <w:spacing w:line="245" w:lineRule="auto"/>
        <w:rPr>
          <w:rFonts w:ascii="Arial"/>
          <w:color w:val="auto"/>
          <w:sz w:val="21"/>
        </w:rPr>
      </w:pPr>
    </w:p>
    <w:p w14:paraId="3CB52687">
      <w:pPr>
        <w:spacing w:before="101" w:line="227" w:lineRule="auto"/>
        <w:ind w:left="646"/>
        <w:outlineLvl w:val="1"/>
        <w:rPr>
          <w:rFonts w:ascii="仿宋" w:hAnsi="仿宋" w:eastAsia="仿宋" w:cs="仿宋"/>
          <w:color w:val="auto"/>
          <w:sz w:val="31"/>
          <w:szCs w:val="31"/>
        </w:rPr>
      </w:pPr>
      <w:r>
        <w:rPr>
          <w:rFonts w:ascii="仿宋" w:hAnsi="仿宋" w:eastAsia="仿宋" w:cs="仿宋"/>
          <w:color w:val="auto"/>
          <w:spacing w:val="5"/>
          <w:sz w:val="31"/>
          <w:szCs w:val="31"/>
        </w:rPr>
        <w:t>（一）</w:t>
      </w:r>
      <w:r>
        <w:rPr>
          <w:rFonts w:ascii="仿宋" w:hAnsi="仿宋" w:eastAsia="仿宋" w:cs="仿宋"/>
          <w:color w:val="auto"/>
          <w:spacing w:val="-119"/>
          <w:sz w:val="31"/>
          <w:szCs w:val="31"/>
        </w:rPr>
        <w:t xml:space="preserve"> </w:t>
      </w:r>
      <w:r>
        <w:rPr>
          <w:rFonts w:ascii="仿宋" w:hAnsi="仿宋" w:eastAsia="仿宋" w:cs="仿宋"/>
          <w:color w:val="auto"/>
          <w:spacing w:val="5"/>
          <w:sz w:val="31"/>
          <w:szCs w:val="31"/>
        </w:rPr>
        <w:t>“三公</w:t>
      </w:r>
      <w:r>
        <w:rPr>
          <w:rFonts w:ascii="仿宋" w:hAnsi="仿宋" w:eastAsia="仿宋" w:cs="仿宋"/>
          <w:color w:val="auto"/>
          <w:spacing w:val="-110"/>
          <w:sz w:val="31"/>
          <w:szCs w:val="31"/>
        </w:rPr>
        <w:t xml:space="preserve"> </w:t>
      </w:r>
      <w:r>
        <w:rPr>
          <w:rFonts w:ascii="仿宋" w:hAnsi="仿宋" w:eastAsia="仿宋" w:cs="仿宋"/>
          <w:color w:val="auto"/>
          <w:spacing w:val="5"/>
          <w:sz w:val="31"/>
          <w:szCs w:val="31"/>
        </w:rPr>
        <w:t>”经费财政拨款支出决算总体情况说明。</w:t>
      </w:r>
    </w:p>
    <w:p w14:paraId="2A59770C">
      <w:pPr>
        <w:spacing w:before="245" w:line="363" w:lineRule="auto"/>
        <w:ind w:left="2" w:right="2" w:firstLine="633"/>
        <w:rPr>
          <w:rFonts w:ascii="仿宋" w:hAnsi="仿宋" w:eastAsia="仿宋" w:cs="仿宋"/>
          <w:color w:val="auto"/>
          <w:sz w:val="31"/>
          <w:szCs w:val="31"/>
        </w:rPr>
      </w:pPr>
      <w:r>
        <w:rPr>
          <w:rFonts w:ascii="仿宋" w:hAnsi="仿宋" w:eastAsia="仿宋" w:cs="仿宋"/>
          <w:color w:val="auto"/>
          <w:spacing w:val="1"/>
          <w:sz w:val="31"/>
          <w:szCs w:val="31"/>
        </w:rPr>
        <w:t>202</w:t>
      </w:r>
      <w:r>
        <w:rPr>
          <w:rFonts w:hint="eastAsia" w:ascii="仿宋" w:hAnsi="仿宋" w:eastAsia="仿宋" w:cs="仿宋"/>
          <w:color w:val="auto"/>
          <w:spacing w:val="1"/>
          <w:sz w:val="31"/>
          <w:szCs w:val="31"/>
          <w:lang w:val="en-US" w:eastAsia="zh-CN"/>
        </w:rPr>
        <w:t>3</w:t>
      </w:r>
      <w:r>
        <w:rPr>
          <w:rFonts w:ascii="仿宋" w:hAnsi="仿宋" w:eastAsia="仿宋" w:cs="仿宋"/>
          <w:color w:val="auto"/>
          <w:spacing w:val="-38"/>
          <w:sz w:val="31"/>
          <w:szCs w:val="31"/>
        </w:rPr>
        <w:t xml:space="preserve"> </w:t>
      </w:r>
      <w:r>
        <w:rPr>
          <w:rFonts w:ascii="仿宋" w:hAnsi="仿宋" w:eastAsia="仿宋" w:cs="仿宋"/>
          <w:color w:val="auto"/>
          <w:spacing w:val="1"/>
          <w:sz w:val="31"/>
          <w:szCs w:val="31"/>
        </w:rPr>
        <w:t>年度“三公</w:t>
      </w:r>
      <w:r>
        <w:rPr>
          <w:rFonts w:ascii="仿宋" w:hAnsi="仿宋" w:eastAsia="仿宋" w:cs="仿宋"/>
          <w:color w:val="auto"/>
          <w:spacing w:val="-110"/>
          <w:sz w:val="31"/>
          <w:szCs w:val="31"/>
        </w:rPr>
        <w:t xml:space="preserve"> </w:t>
      </w:r>
      <w:r>
        <w:rPr>
          <w:rFonts w:ascii="仿宋" w:hAnsi="仿宋" w:eastAsia="仿宋" w:cs="仿宋"/>
          <w:color w:val="auto"/>
          <w:spacing w:val="1"/>
          <w:sz w:val="31"/>
          <w:szCs w:val="31"/>
        </w:rPr>
        <w:t>”经费财政拨款支出预算为</w:t>
      </w:r>
      <w:r>
        <w:rPr>
          <w:rFonts w:ascii="仿宋" w:hAnsi="仿宋" w:eastAsia="仿宋" w:cs="仿宋"/>
          <w:color w:val="auto"/>
          <w:spacing w:val="-63"/>
          <w:sz w:val="31"/>
          <w:szCs w:val="31"/>
        </w:rPr>
        <w:t xml:space="preserve"> </w:t>
      </w:r>
      <w:r>
        <w:rPr>
          <w:rFonts w:ascii="仿宋" w:hAnsi="仿宋" w:eastAsia="仿宋" w:cs="仿宋"/>
          <w:color w:val="auto"/>
          <w:spacing w:val="1"/>
          <w:sz w:val="31"/>
          <w:szCs w:val="31"/>
        </w:rPr>
        <w:t>4.</w:t>
      </w:r>
      <w:r>
        <w:rPr>
          <w:rFonts w:hint="eastAsia" w:ascii="仿宋" w:hAnsi="仿宋" w:eastAsia="仿宋" w:cs="仿宋"/>
          <w:color w:val="auto"/>
          <w:spacing w:val="1"/>
          <w:sz w:val="31"/>
          <w:szCs w:val="31"/>
          <w:lang w:val="en-US" w:eastAsia="zh-CN"/>
        </w:rPr>
        <w:t>0</w:t>
      </w:r>
      <w:r>
        <w:rPr>
          <w:rFonts w:ascii="仿宋" w:hAnsi="仿宋" w:eastAsia="仿宋" w:cs="仿宋"/>
          <w:color w:val="auto"/>
          <w:spacing w:val="1"/>
          <w:sz w:val="31"/>
          <w:szCs w:val="31"/>
        </w:rPr>
        <w:t>8</w:t>
      </w:r>
      <w:r>
        <w:rPr>
          <w:rFonts w:ascii="仿宋" w:hAnsi="仿宋" w:eastAsia="仿宋" w:cs="仿宋"/>
          <w:color w:val="auto"/>
          <w:spacing w:val="-51"/>
          <w:sz w:val="31"/>
          <w:szCs w:val="31"/>
        </w:rPr>
        <w:t xml:space="preserve"> </w:t>
      </w:r>
      <w:r>
        <w:rPr>
          <w:rFonts w:ascii="仿宋" w:hAnsi="仿宋" w:eastAsia="仿宋" w:cs="仿宋"/>
          <w:color w:val="auto"/>
          <w:spacing w:val="1"/>
          <w:sz w:val="31"/>
          <w:szCs w:val="31"/>
        </w:rPr>
        <w:t>万元，支出决算</w:t>
      </w:r>
      <w:r>
        <w:rPr>
          <w:rFonts w:ascii="仿宋" w:hAnsi="仿宋" w:eastAsia="仿宋" w:cs="仿宋"/>
          <w:color w:val="auto"/>
          <w:sz w:val="31"/>
          <w:szCs w:val="31"/>
        </w:rPr>
        <w:t xml:space="preserve"> </w:t>
      </w:r>
      <w:r>
        <w:rPr>
          <w:rFonts w:ascii="仿宋" w:hAnsi="仿宋" w:eastAsia="仿宋" w:cs="仿宋"/>
          <w:color w:val="auto"/>
          <w:spacing w:val="7"/>
          <w:sz w:val="31"/>
          <w:szCs w:val="31"/>
        </w:rPr>
        <w:t>为</w:t>
      </w:r>
      <w:r>
        <w:rPr>
          <w:rFonts w:ascii="仿宋" w:hAnsi="仿宋" w:eastAsia="仿宋" w:cs="仿宋"/>
          <w:color w:val="auto"/>
          <w:spacing w:val="-54"/>
          <w:sz w:val="31"/>
          <w:szCs w:val="31"/>
        </w:rPr>
        <w:t xml:space="preserve"> </w:t>
      </w:r>
      <w:r>
        <w:rPr>
          <w:rFonts w:hint="eastAsia" w:ascii="仿宋" w:hAnsi="仿宋" w:eastAsia="仿宋" w:cs="仿宋"/>
          <w:color w:val="auto"/>
          <w:spacing w:val="7"/>
          <w:sz w:val="31"/>
          <w:szCs w:val="31"/>
          <w:lang w:val="en-US" w:eastAsia="zh-CN"/>
        </w:rPr>
        <w:t>0.28</w:t>
      </w:r>
      <w:r>
        <w:rPr>
          <w:rFonts w:ascii="仿宋" w:hAnsi="仿宋" w:eastAsia="仿宋" w:cs="仿宋"/>
          <w:color w:val="auto"/>
          <w:spacing w:val="7"/>
          <w:sz w:val="31"/>
          <w:szCs w:val="31"/>
        </w:rPr>
        <w:t>万元，完成预算的</w:t>
      </w:r>
      <w:r>
        <w:rPr>
          <w:rFonts w:ascii="仿宋" w:hAnsi="仿宋" w:eastAsia="仿宋" w:cs="仿宋"/>
          <w:color w:val="auto"/>
          <w:spacing w:val="-50"/>
          <w:sz w:val="31"/>
          <w:szCs w:val="31"/>
        </w:rPr>
        <w:t xml:space="preserve"> </w:t>
      </w:r>
      <w:r>
        <w:rPr>
          <w:rFonts w:hint="eastAsia" w:ascii="仿宋" w:hAnsi="仿宋" w:eastAsia="仿宋" w:cs="仿宋"/>
          <w:color w:val="auto"/>
          <w:spacing w:val="7"/>
          <w:sz w:val="31"/>
          <w:szCs w:val="31"/>
          <w:lang w:val="en-US" w:eastAsia="zh-CN"/>
        </w:rPr>
        <w:t>7</w:t>
      </w:r>
      <w:r>
        <w:rPr>
          <w:rFonts w:ascii="仿宋" w:hAnsi="仿宋" w:eastAsia="仿宋" w:cs="仿宋"/>
          <w:color w:val="auto"/>
          <w:spacing w:val="7"/>
          <w:sz w:val="31"/>
          <w:szCs w:val="31"/>
        </w:rPr>
        <w:t>%。</w:t>
      </w:r>
      <w:r>
        <w:rPr>
          <w:rFonts w:ascii="仿宋" w:hAnsi="仿宋" w:eastAsia="仿宋" w:cs="仿宋"/>
          <w:color w:val="auto"/>
          <w:sz w:val="31"/>
          <w:szCs w:val="31"/>
        </w:rPr>
        <w:t xml:space="preserve"> </w:t>
      </w:r>
      <w:r>
        <w:rPr>
          <w:rFonts w:ascii="仿宋" w:hAnsi="仿宋" w:eastAsia="仿宋" w:cs="仿宋"/>
          <w:color w:val="auto"/>
          <w:spacing w:val="13"/>
          <w:sz w:val="31"/>
          <w:szCs w:val="31"/>
        </w:rPr>
        <w:t>决算数小于预算数的主要原因：本单位节约开支。决算数较上年减少</w:t>
      </w:r>
      <w:r>
        <w:rPr>
          <w:rFonts w:ascii="仿宋" w:hAnsi="仿宋" w:eastAsia="仿宋" w:cs="仿宋"/>
          <w:color w:val="auto"/>
          <w:spacing w:val="7"/>
          <w:sz w:val="31"/>
          <w:szCs w:val="31"/>
        </w:rPr>
        <w:t>的主要原因：本单位节约开支。</w:t>
      </w:r>
    </w:p>
    <w:p w14:paraId="1A5CB6DE">
      <w:pPr>
        <w:spacing w:before="55" w:line="227" w:lineRule="auto"/>
        <w:ind w:left="646"/>
        <w:rPr>
          <w:rFonts w:ascii="仿宋" w:hAnsi="仿宋" w:eastAsia="仿宋" w:cs="仿宋"/>
          <w:color w:val="auto"/>
          <w:sz w:val="31"/>
          <w:szCs w:val="31"/>
        </w:rPr>
      </w:pPr>
      <w:r>
        <w:rPr>
          <w:rFonts w:ascii="仿宋" w:hAnsi="仿宋" w:eastAsia="仿宋" w:cs="仿宋"/>
          <w:color w:val="auto"/>
          <w:spacing w:val="6"/>
          <w:sz w:val="31"/>
          <w:szCs w:val="31"/>
        </w:rPr>
        <w:t>（二）“三公</w:t>
      </w:r>
      <w:r>
        <w:rPr>
          <w:rFonts w:ascii="仿宋" w:hAnsi="仿宋" w:eastAsia="仿宋" w:cs="仿宋"/>
          <w:color w:val="auto"/>
          <w:spacing w:val="-98"/>
          <w:sz w:val="31"/>
          <w:szCs w:val="31"/>
        </w:rPr>
        <w:t xml:space="preserve"> </w:t>
      </w:r>
      <w:r>
        <w:rPr>
          <w:rFonts w:ascii="仿宋" w:hAnsi="仿宋" w:eastAsia="仿宋" w:cs="仿宋"/>
          <w:color w:val="auto"/>
          <w:spacing w:val="6"/>
          <w:sz w:val="31"/>
          <w:szCs w:val="31"/>
        </w:rPr>
        <w:t>”经费财政拨款支出决算具体情况说明。</w:t>
      </w:r>
    </w:p>
    <w:p w14:paraId="54A34C2D">
      <w:pPr>
        <w:spacing w:before="242" w:line="356" w:lineRule="auto"/>
        <w:ind w:left="19" w:firstLine="635"/>
        <w:rPr>
          <w:rFonts w:ascii="仿宋" w:hAnsi="仿宋" w:eastAsia="仿宋" w:cs="仿宋"/>
          <w:color w:val="auto"/>
          <w:sz w:val="31"/>
          <w:szCs w:val="31"/>
        </w:rPr>
      </w:pPr>
      <w:r>
        <w:rPr>
          <w:rFonts w:ascii="仿宋" w:hAnsi="仿宋" w:eastAsia="仿宋" w:cs="仿宋"/>
          <w:color w:val="auto"/>
          <w:spacing w:val="9"/>
          <w:sz w:val="31"/>
          <w:szCs w:val="31"/>
        </w:rPr>
        <w:t>1.因公出国(境)费预算为</w:t>
      </w:r>
      <w:r>
        <w:rPr>
          <w:rFonts w:ascii="仿宋" w:hAnsi="仿宋" w:eastAsia="仿宋" w:cs="仿宋"/>
          <w:color w:val="auto"/>
          <w:spacing w:val="-55"/>
          <w:sz w:val="31"/>
          <w:szCs w:val="31"/>
        </w:rPr>
        <w:t xml:space="preserve"> </w:t>
      </w:r>
      <w:r>
        <w:rPr>
          <w:rFonts w:ascii="仿宋" w:hAnsi="仿宋" w:eastAsia="仿宋" w:cs="仿宋"/>
          <w:color w:val="auto"/>
          <w:spacing w:val="9"/>
          <w:sz w:val="31"/>
          <w:szCs w:val="31"/>
        </w:rPr>
        <w:t>0</w:t>
      </w:r>
      <w:r>
        <w:rPr>
          <w:rFonts w:ascii="仿宋" w:hAnsi="仿宋" w:eastAsia="仿宋" w:cs="仿宋"/>
          <w:color w:val="auto"/>
          <w:spacing w:val="-48"/>
          <w:sz w:val="31"/>
          <w:szCs w:val="31"/>
        </w:rPr>
        <w:t xml:space="preserve"> </w:t>
      </w:r>
      <w:r>
        <w:rPr>
          <w:rFonts w:ascii="仿宋" w:hAnsi="仿宋" w:eastAsia="仿宋" w:cs="仿宋"/>
          <w:color w:val="auto"/>
          <w:spacing w:val="9"/>
          <w:sz w:val="31"/>
          <w:szCs w:val="31"/>
        </w:rPr>
        <w:t>万元，支出决算为</w:t>
      </w:r>
      <w:r>
        <w:rPr>
          <w:rFonts w:ascii="仿宋" w:hAnsi="仿宋" w:eastAsia="仿宋" w:cs="仿宋"/>
          <w:color w:val="auto"/>
          <w:spacing w:val="-55"/>
          <w:sz w:val="31"/>
          <w:szCs w:val="31"/>
        </w:rPr>
        <w:t xml:space="preserve"> </w:t>
      </w:r>
      <w:r>
        <w:rPr>
          <w:rFonts w:ascii="仿宋" w:hAnsi="仿宋" w:eastAsia="仿宋" w:cs="仿宋"/>
          <w:color w:val="auto"/>
          <w:spacing w:val="9"/>
          <w:sz w:val="31"/>
          <w:szCs w:val="31"/>
        </w:rPr>
        <w:t>0</w:t>
      </w:r>
      <w:r>
        <w:rPr>
          <w:rFonts w:ascii="仿宋" w:hAnsi="仿宋" w:eastAsia="仿宋" w:cs="仿宋"/>
          <w:color w:val="auto"/>
          <w:spacing w:val="-46"/>
          <w:sz w:val="31"/>
          <w:szCs w:val="31"/>
        </w:rPr>
        <w:t xml:space="preserve"> </w:t>
      </w:r>
      <w:r>
        <w:rPr>
          <w:rFonts w:ascii="仿宋" w:hAnsi="仿宋" w:eastAsia="仿宋" w:cs="仿宋"/>
          <w:color w:val="auto"/>
          <w:spacing w:val="9"/>
          <w:sz w:val="31"/>
          <w:szCs w:val="31"/>
        </w:rPr>
        <w:t>万</w:t>
      </w:r>
      <w:r>
        <w:rPr>
          <w:rFonts w:ascii="仿宋" w:hAnsi="仿宋" w:eastAsia="仿宋" w:cs="仿宋"/>
          <w:color w:val="auto"/>
          <w:spacing w:val="8"/>
          <w:sz w:val="31"/>
          <w:szCs w:val="31"/>
        </w:rPr>
        <w:t>元，完成预算</w:t>
      </w:r>
      <w:r>
        <w:rPr>
          <w:rFonts w:ascii="仿宋" w:hAnsi="仿宋" w:eastAsia="仿宋" w:cs="仿宋"/>
          <w:color w:val="auto"/>
          <w:sz w:val="31"/>
          <w:szCs w:val="31"/>
        </w:rPr>
        <w:t xml:space="preserve"> </w:t>
      </w:r>
      <w:r>
        <w:rPr>
          <w:rFonts w:ascii="仿宋" w:hAnsi="仿宋" w:eastAsia="仿宋" w:cs="仿宋"/>
          <w:color w:val="auto"/>
          <w:spacing w:val="10"/>
          <w:sz w:val="31"/>
          <w:szCs w:val="31"/>
        </w:rPr>
        <w:t>的</w:t>
      </w:r>
      <w:r>
        <w:rPr>
          <w:rFonts w:ascii="仿宋" w:hAnsi="仿宋" w:eastAsia="仿宋" w:cs="仿宋"/>
          <w:color w:val="auto"/>
          <w:spacing w:val="-41"/>
          <w:sz w:val="31"/>
          <w:szCs w:val="31"/>
        </w:rPr>
        <w:t xml:space="preserve"> </w:t>
      </w:r>
      <w:r>
        <w:rPr>
          <w:rFonts w:ascii="仿宋" w:hAnsi="仿宋" w:eastAsia="仿宋" w:cs="仿宋"/>
          <w:color w:val="auto"/>
          <w:spacing w:val="10"/>
          <w:sz w:val="31"/>
          <w:szCs w:val="31"/>
        </w:rPr>
        <w:t>0%。决算数较上年增加（减少）0</w:t>
      </w:r>
      <w:r>
        <w:rPr>
          <w:rFonts w:ascii="仿宋" w:hAnsi="仿宋" w:eastAsia="仿宋" w:cs="仿宋"/>
          <w:color w:val="auto"/>
          <w:spacing w:val="-46"/>
          <w:sz w:val="31"/>
          <w:szCs w:val="31"/>
        </w:rPr>
        <w:t xml:space="preserve"> </w:t>
      </w:r>
      <w:r>
        <w:rPr>
          <w:rFonts w:ascii="仿宋" w:hAnsi="仿宋" w:eastAsia="仿宋" w:cs="仿宋"/>
          <w:color w:val="auto"/>
          <w:spacing w:val="10"/>
          <w:sz w:val="31"/>
          <w:szCs w:val="31"/>
        </w:rPr>
        <w:t>万元，增长（下降）0%。决算数</w:t>
      </w:r>
      <w:r>
        <w:rPr>
          <w:rFonts w:ascii="仿宋" w:hAnsi="仿宋" w:eastAsia="仿宋" w:cs="仿宋"/>
          <w:color w:val="auto"/>
          <w:spacing w:val="13"/>
          <w:sz w:val="31"/>
          <w:szCs w:val="31"/>
        </w:rPr>
        <w:t>小于（大于）预算数的主要原因：本单位无人员出国。决算数较上年</w:t>
      </w:r>
      <w:r>
        <w:rPr>
          <w:rFonts w:ascii="仿宋" w:hAnsi="仿宋" w:eastAsia="仿宋" w:cs="仿宋"/>
          <w:color w:val="auto"/>
          <w:spacing w:val="14"/>
          <w:sz w:val="31"/>
          <w:szCs w:val="31"/>
        </w:rPr>
        <w:t xml:space="preserve"> </w:t>
      </w:r>
      <w:r>
        <w:rPr>
          <w:rFonts w:ascii="仿宋" w:hAnsi="仿宋" w:eastAsia="仿宋" w:cs="仿宋"/>
          <w:color w:val="auto"/>
          <w:spacing w:val="8"/>
          <w:sz w:val="31"/>
          <w:szCs w:val="31"/>
        </w:rPr>
        <w:t>增加（减少）的主要原因本单位无人员出国。</w:t>
      </w:r>
    </w:p>
    <w:p w14:paraId="43DBD72D">
      <w:pPr>
        <w:spacing w:before="54" w:line="355" w:lineRule="auto"/>
        <w:ind w:left="33" w:right="113" w:firstLine="615"/>
        <w:rPr>
          <w:rFonts w:ascii="仿宋" w:hAnsi="仿宋" w:eastAsia="仿宋" w:cs="仿宋"/>
          <w:color w:val="auto"/>
          <w:sz w:val="31"/>
          <w:szCs w:val="31"/>
        </w:rPr>
      </w:pPr>
      <w:r>
        <w:rPr>
          <w:rFonts w:ascii="仿宋" w:hAnsi="仿宋" w:eastAsia="仿宋" w:cs="仿宋"/>
          <w:color w:val="auto"/>
          <w:spacing w:val="5"/>
          <w:sz w:val="31"/>
          <w:szCs w:val="31"/>
        </w:rPr>
        <w:t>全年支出涉及出国（境）</w:t>
      </w:r>
      <w:r>
        <w:rPr>
          <w:rFonts w:ascii="仿宋" w:hAnsi="仿宋" w:eastAsia="仿宋" w:cs="仿宋"/>
          <w:color w:val="auto"/>
          <w:spacing w:val="-79"/>
          <w:sz w:val="31"/>
          <w:szCs w:val="31"/>
        </w:rPr>
        <w:t xml:space="preserve"> </w:t>
      </w:r>
      <w:r>
        <w:rPr>
          <w:rFonts w:ascii="仿宋" w:hAnsi="仿宋" w:eastAsia="仿宋" w:cs="仿宋"/>
          <w:color w:val="auto"/>
          <w:spacing w:val="5"/>
          <w:sz w:val="31"/>
          <w:szCs w:val="31"/>
        </w:rPr>
        <w:t>团组 0</w:t>
      </w:r>
      <w:r>
        <w:rPr>
          <w:rFonts w:ascii="仿宋" w:hAnsi="仿宋" w:eastAsia="仿宋" w:cs="仿宋"/>
          <w:color w:val="auto"/>
          <w:spacing w:val="-50"/>
          <w:sz w:val="31"/>
          <w:szCs w:val="31"/>
        </w:rPr>
        <w:t xml:space="preserve"> </w:t>
      </w:r>
      <w:r>
        <w:rPr>
          <w:rFonts w:ascii="仿宋" w:hAnsi="仿宋" w:eastAsia="仿宋" w:cs="仿宋"/>
          <w:color w:val="auto"/>
          <w:spacing w:val="5"/>
          <w:sz w:val="31"/>
          <w:szCs w:val="31"/>
        </w:rPr>
        <w:t>个，累计</w:t>
      </w:r>
      <w:r>
        <w:rPr>
          <w:rFonts w:ascii="仿宋" w:hAnsi="仿宋" w:eastAsia="仿宋" w:cs="仿宋"/>
          <w:color w:val="auto"/>
          <w:spacing w:val="-59"/>
          <w:sz w:val="31"/>
          <w:szCs w:val="31"/>
        </w:rPr>
        <w:t xml:space="preserve"> </w:t>
      </w:r>
      <w:r>
        <w:rPr>
          <w:rFonts w:ascii="仿宋" w:hAnsi="仿宋" w:eastAsia="仿宋" w:cs="仿宋"/>
          <w:color w:val="auto"/>
          <w:spacing w:val="5"/>
          <w:sz w:val="31"/>
          <w:szCs w:val="31"/>
        </w:rPr>
        <w:t>0</w:t>
      </w:r>
      <w:r>
        <w:rPr>
          <w:rFonts w:ascii="仿宋" w:hAnsi="仿宋" w:eastAsia="仿宋" w:cs="仿宋"/>
          <w:color w:val="auto"/>
          <w:spacing w:val="-46"/>
          <w:sz w:val="31"/>
          <w:szCs w:val="31"/>
        </w:rPr>
        <w:t xml:space="preserve"> </w:t>
      </w:r>
      <w:r>
        <w:rPr>
          <w:rFonts w:ascii="仿宋" w:hAnsi="仿宋" w:eastAsia="仿宋" w:cs="仿宋"/>
          <w:color w:val="auto"/>
          <w:spacing w:val="5"/>
          <w:sz w:val="31"/>
          <w:szCs w:val="31"/>
        </w:rPr>
        <w:t>人次。主要用于开展</w:t>
      </w:r>
      <w:r>
        <w:rPr>
          <w:rFonts w:ascii="仿宋" w:hAnsi="仿宋" w:eastAsia="仿宋" w:cs="仿宋"/>
          <w:color w:val="auto"/>
          <w:sz w:val="31"/>
          <w:szCs w:val="31"/>
        </w:rPr>
        <w:t xml:space="preserve"> </w:t>
      </w:r>
      <w:r>
        <w:rPr>
          <w:rFonts w:ascii="仿宋" w:hAnsi="仿宋" w:eastAsia="仿宋" w:cs="仿宋"/>
          <w:color w:val="auto"/>
          <w:spacing w:val="8"/>
          <w:sz w:val="31"/>
          <w:szCs w:val="31"/>
        </w:rPr>
        <w:t>以下工作：本单位无人员出国，暂时没有与国际</w:t>
      </w:r>
      <w:r>
        <w:rPr>
          <w:rFonts w:ascii="仿宋" w:hAnsi="仿宋" w:eastAsia="仿宋" w:cs="仿宋"/>
          <w:color w:val="auto"/>
          <w:spacing w:val="7"/>
          <w:sz w:val="31"/>
          <w:szCs w:val="31"/>
        </w:rPr>
        <w:t>相关的工作项目。</w:t>
      </w:r>
    </w:p>
    <w:p w14:paraId="5235F921">
      <w:pPr>
        <w:spacing w:before="56" w:line="359" w:lineRule="auto"/>
        <w:ind w:right="113" w:firstLine="634"/>
        <w:rPr>
          <w:rFonts w:ascii="仿宋" w:hAnsi="仿宋" w:eastAsia="仿宋" w:cs="仿宋"/>
          <w:color w:val="auto"/>
          <w:sz w:val="31"/>
          <w:szCs w:val="31"/>
        </w:rPr>
      </w:pPr>
      <w:r>
        <w:rPr>
          <w:rFonts w:ascii="仿宋" w:hAnsi="仿宋" w:eastAsia="仿宋" w:cs="仿宋"/>
          <w:color w:val="auto"/>
          <w:spacing w:val="9"/>
          <w:sz w:val="31"/>
          <w:szCs w:val="31"/>
        </w:rPr>
        <w:t>2.公务用车购置及运行费预算为</w:t>
      </w:r>
      <w:r>
        <w:rPr>
          <w:rFonts w:ascii="仿宋" w:hAnsi="仿宋" w:eastAsia="仿宋" w:cs="仿宋"/>
          <w:color w:val="auto"/>
          <w:spacing w:val="-45"/>
          <w:sz w:val="31"/>
          <w:szCs w:val="31"/>
        </w:rPr>
        <w:t xml:space="preserve"> </w:t>
      </w:r>
      <w:r>
        <w:rPr>
          <w:rFonts w:ascii="仿宋" w:hAnsi="仿宋" w:eastAsia="仿宋" w:cs="仿宋"/>
          <w:color w:val="auto"/>
          <w:spacing w:val="9"/>
          <w:sz w:val="31"/>
          <w:szCs w:val="31"/>
        </w:rPr>
        <w:t>4</w:t>
      </w:r>
      <w:r>
        <w:rPr>
          <w:rFonts w:ascii="仿宋" w:hAnsi="仿宋" w:eastAsia="仿宋" w:cs="仿宋"/>
          <w:color w:val="auto"/>
          <w:spacing w:val="-43"/>
          <w:sz w:val="31"/>
          <w:szCs w:val="31"/>
        </w:rPr>
        <w:t xml:space="preserve"> </w:t>
      </w:r>
      <w:r>
        <w:rPr>
          <w:rFonts w:ascii="仿宋" w:hAnsi="仿宋" w:eastAsia="仿宋" w:cs="仿宋"/>
          <w:color w:val="auto"/>
          <w:spacing w:val="9"/>
          <w:sz w:val="31"/>
          <w:szCs w:val="31"/>
        </w:rPr>
        <w:t>万元，支出决算为</w:t>
      </w:r>
      <w:r>
        <w:rPr>
          <w:rFonts w:ascii="仿宋" w:hAnsi="仿宋" w:eastAsia="仿宋" w:cs="仿宋"/>
          <w:color w:val="auto"/>
          <w:spacing w:val="-56"/>
          <w:sz w:val="31"/>
          <w:szCs w:val="31"/>
        </w:rPr>
        <w:t xml:space="preserve"> </w:t>
      </w:r>
      <w:r>
        <w:rPr>
          <w:rFonts w:hint="eastAsia" w:ascii="仿宋" w:hAnsi="仿宋" w:eastAsia="仿宋" w:cs="仿宋"/>
          <w:color w:val="auto"/>
          <w:spacing w:val="9"/>
          <w:sz w:val="31"/>
          <w:szCs w:val="31"/>
          <w:lang w:val="en-US" w:eastAsia="zh-CN"/>
        </w:rPr>
        <w:t>0.28</w:t>
      </w:r>
      <w:r>
        <w:rPr>
          <w:rFonts w:ascii="仿宋" w:hAnsi="仿宋" w:eastAsia="仿宋" w:cs="仿宋"/>
          <w:color w:val="auto"/>
          <w:spacing w:val="-46"/>
          <w:sz w:val="31"/>
          <w:szCs w:val="31"/>
        </w:rPr>
        <w:t xml:space="preserve"> </w:t>
      </w:r>
      <w:r>
        <w:rPr>
          <w:rFonts w:ascii="仿宋" w:hAnsi="仿宋" w:eastAsia="仿宋" w:cs="仿宋"/>
          <w:color w:val="auto"/>
          <w:spacing w:val="9"/>
          <w:sz w:val="31"/>
          <w:szCs w:val="31"/>
        </w:rPr>
        <w:t>万元，</w:t>
      </w:r>
      <w:r>
        <w:rPr>
          <w:rFonts w:ascii="仿宋" w:hAnsi="仿宋" w:eastAsia="仿宋" w:cs="仿宋"/>
          <w:color w:val="auto"/>
          <w:sz w:val="31"/>
          <w:szCs w:val="31"/>
        </w:rPr>
        <w:t xml:space="preserve"> </w:t>
      </w:r>
      <w:r>
        <w:rPr>
          <w:rFonts w:ascii="仿宋" w:hAnsi="仿宋" w:eastAsia="仿宋" w:cs="仿宋"/>
          <w:color w:val="auto"/>
          <w:spacing w:val="3"/>
          <w:sz w:val="31"/>
          <w:szCs w:val="31"/>
        </w:rPr>
        <w:t>完成预算的</w:t>
      </w:r>
      <w:r>
        <w:rPr>
          <w:rFonts w:ascii="仿宋" w:hAnsi="仿宋" w:eastAsia="仿宋" w:cs="仿宋"/>
          <w:color w:val="auto"/>
          <w:spacing w:val="-59"/>
          <w:sz w:val="31"/>
          <w:szCs w:val="31"/>
        </w:rPr>
        <w:t xml:space="preserve"> </w:t>
      </w:r>
      <w:r>
        <w:rPr>
          <w:rFonts w:hint="eastAsia" w:ascii="仿宋" w:hAnsi="仿宋" w:eastAsia="仿宋" w:cs="仿宋"/>
          <w:color w:val="auto"/>
          <w:spacing w:val="3"/>
          <w:sz w:val="31"/>
          <w:szCs w:val="31"/>
          <w:lang w:val="en-US" w:eastAsia="zh-CN"/>
        </w:rPr>
        <w:t>7</w:t>
      </w:r>
      <w:r>
        <w:rPr>
          <w:rFonts w:ascii="仿宋" w:hAnsi="仿宋" w:eastAsia="仿宋" w:cs="仿宋"/>
          <w:color w:val="auto"/>
          <w:spacing w:val="3"/>
          <w:sz w:val="31"/>
          <w:szCs w:val="31"/>
        </w:rPr>
        <w:t>%；决算数小于</w:t>
      </w:r>
      <w:r>
        <w:rPr>
          <w:rFonts w:ascii="仿宋" w:hAnsi="仿宋" w:eastAsia="仿宋" w:cs="仿宋"/>
          <w:color w:val="auto"/>
          <w:spacing w:val="13"/>
          <w:sz w:val="31"/>
          <w:szCs w:val="31"/>
        </w:rPr>
        <w:t>预算数的主要原因：本单位落实过紧日子要求压缩公务用车开支。决算数较上年减少的主要原因：本单位落实过紧日子要求压缩公务用车</w:t>
      </w:r>
      <w:r>
        <w:rPr>
          <w:rFonts w:ascii="仿宋" w:hAnsi="仿宋" w:eastAsia="仿宋" w:cs="仿宋"/>
          <w:color w:val="auto"/>
          <w:spacing w:val="4"/>
          <w:sz w:val="31"/>
          <w:szCs w:val="31"/>
        </w:rPr>
        <w:t>开支。其中：</w:t>
      </w:r>
    </w:p>
    <w:p w14:paraId="27D8130E">
      <w:pPr>
        <w:spacing w:line="298" w:lineRule="auto"/>
        <w:ind w:left="8" w:right="113" w:firstLine="679"/>
        <w:rPr>
          <w:rFonts w:ascii="仿宋" w:hAnsi="仿宋" w:eastAsia="仿宋" w:cs="仿宋"/>
          <w:color w:val="auto"/>
          <w:sz w:val="31"/>
          <w:szCs w:val="31"/>
        </w:rPr>
      </w:pPr>
      <w:r>
        <w:rPr>
          <w:rFonts w:ascii="仿宋" w:hAnsi="仿宋" w:eastAsia="仿宋" w:cs="仿宋"/>
          <w:color w:val="auto"/>
          <w:spacing w:val="13"/>
          <w:sz w:val="31"/>
          <w:szCs w:val="31"/>
        </w:rPr>
        <w:t>(1)公务用车购置费支出 0</w:t>
      </w:r>
      <w:r>
        <w:rPr>
          <w:rFonts w:ascii="仿宋" w:hAnsi="仿宋" w:eastAsia="仿宋" w:cs="仿宋"/>
          <w:color w:val="auto"/>
          <w:spacing w:val="-44"/>
          <w:sz w:val="31"/>
          <w:szCs w:val="31"/>
        </w:rPr>
        <w:t xml:space="preserve"> </w:t>
      </w:r>
      <w:r>
        <w:rPr>
          <w:rFonts w:ascii="仿宋" w:hAnsi="仿宋" w:eastAsia="仿宋" w:cs="仿宋"/>
          <w:color w:val="auto"/>
          <w:spacing w:val="13"/>
          <w:sz w:val="31"/>
          <w:szCs w:val="31"/>
        </w:rPr>
        <w:t>万元。主要是本</w:t>
      </w:r>
      <w:r>
        <w:rPr>
          <w:rFonts w:ascii="仿宋" w:hAnsi="仿宋" w:eastAsia="仿宋" w:cs="仿宋"/>
          <w:color w:val="auto"/>
          <w:spacing w:val="12"/>
          <w:sz w:val="31"/>
          <w:szCs w:val="31"/>
        </w:rPr>
        <w:t>单位今年没有购置新</w:t>
      </w:r>
      <w:r>
        <w:rPr>
          <w:rFonts w:ascii="仿宋" w:hAnsi="仿宋" w:eastAsia="仿宋" w:cs="仿宋"/>
          <w:color w:val="auto"/>
          <w:sz w:val="31"/>
          <w:szCs w:val="31"/>
        </w:rPr>
        <w:t xml:space="preserve"> </w:t>
      </w:r>
      <w:r>
        <w:rPr>
          <w:rFonts w:ascii="仿宋" w:hAnsi="仿宋" w:eastAsia="仿宋" w:cs="仿宋"/>
          <w:color w:val="auto"/>
          <w:spacing w:val="4"/>
          <w:sz w:val="31"/>
          <w:szCs w:val="31"/>
        </w:rPr>
        <w:t>车。本年度购置(更新)公务用车</w:t>
      </w:r>
      <w:r>
        <w:rPr>
          <w:rFonts w:ascii="仿宋" w:hAnsi="仿宋" w:eastAsia="仿宋" w:cs="仿宋"/>
          <w:color w:val="auto"/>
          <w:spacing w:val="-44"/>
          <w:sz w:val="31"/>
          <w:szCs w:val="31"/>
        </w:rPr>
        <w:t xml:space="preserve"> </w:t>
      </w:r>
      <w:r>
        <w:rPr>
          <w:rFonts w:ascii="仿宋" w:hAnsi="仿宋" w:eastAsia="仿宋" w:cs="仿宋"/>
          <w:color w:val="auto"/>
          <w:spacing w:val="4"/>
          <w:sz w:val="31"/>
          <w:szCs w:val="31"/>
        </w:rPr>
        <w:t>0</w:t>
      </w:r>
      <w:r>
        <w:rPr>
          <w:rFonts w:ascii="仿宋" w:hAnsi="仿宋" w:eastAsia="仿宋" w:cs="仿宋"/>
          <w:color w:val="auto"/>
          <w:spacing w:val="-54"/>
          <w:sz w:val="31"/>
          <w:szCs w:val="31"/>
        </w:rPr>
        <w:t xml:space="preserve"> </w:t>
      </w:r>
      <w:r>
        <w:rPr>
          <w:rFonts w:ascii="仿宋" w:hAnsi="仿宋" w:eastAsia="仿宋" w:cs="仿宋"/>
          <w:color w:val="auto"/>
          <w:spacing w:val="4"/>
          <w:sz w:val="31"/>
          <w:szCs w:val="31"/>
        </w:rPr>
        <w:t>辆。</w:t>
      </w:r>
    </w:p>
    <w:p w14:paraId="7F0F21D4">
      <w:pPr>
        <w:spacing w:before="242" w:line="298" w:lineRule="auto"/>
        <w:ind w:left="11" w:firstLine="676"/>
        <w:rPr>
          <w:rFonts w:ascii="仿宋" w:hAnsi="仿宋" w:eastAsia="仿宋" w:cs="仿宋"/>
          <w:color w:val="auto"/>
          <w:sz w:val="31"/>
          <w:szCs w:val="31"/>
        </w:rPr>
      </w:pPr>
      <w:r>
        <w:rPr>
          <w:rFonts w:ascii="仿宋" w:hAnsi="仿宋" w:eastAsia="仿宋" w:cs="仿宋"/>
          <w:color w:val="auto"/>
          <w:spacing w:val="4"/>
          <w:sz w:val="31"/>
          <w:szCs w:val="31"/>
        </w:rPr>
        <w:t>(2)公务用车运行费支出</w:t>
      </w:r>
      <w:r>
        <w:rPr>
          <w:rFonts w:ascii="仿宋" w:hAnsi="仿宋" w:eastAsia="仿宋" w:cs="仿宋"/>
          <w:color w:val="auto"/>
          <w:spacing w:val="-41"/>
          <w:sz w:val="31"/>
          <w:szCs w:val="31"/>
        </w:rPr>
        <w:t xml:space="preserve"> </w:t>
      </w:r>
      <w:r>
        <w:rPr>
          <w:rFonts w:hint="eastAsia" w:ascii="仿宋" w:hAnsi="仿宋" w:eastAsia="仿宋" w:cs="仿宋"/>
          <w:color w:val="auto"/>
          <w:spacing w:val="4"/>
          <w:sz w:val="31"/>
          <w:szCs w:val="31"/>
          <w:lang w:val="en-US" w:eastAsia="zh-CN"/>
        </w:rPr>
        <w:t>0.28</w:t>
      </w:r>
      <w:r>
        <w:rPr>
          <w:rFonts w:ascii="仿宋" w:hAnsi="仿宋" w:eastAsia="仿宋" w:cs="仿宋"/>
          <w:color w:val="auto"/>
          <w:spacing w:val="4"/>
          <w:sz w:val="31"/>
          <w:szCs w:val="31"/>
        </w:rPr>
        <w:t>万元，主要用于公务用车加油和维修</w:t>
      </w:r>
      <w:r>
        <w:rPr>
          <w:rFonts w:ascii="仿宋" w:hAnsi="仿宋" w:eastAsia="仿宋" w:cs="仿宋"/>
          <w:color w:val="auto"/>
          <w:sz w:val="31"/>
          <w:szCs w:val="31"/>
        </w:rPr>
        <w:t xml:space="preserve"> </w:t>
      </w:r>
      <w:r>
        <w:rPr>
          <w:rFonts w:ascii="仿宋" w:hAnsi="仿宋" w:eastAsia="仿宋" w:cs="仿宋"/>
          <w:color w:val="auto"/>
          <w:spacing w:val="-7"/>
          <w:sz w:val="31"/>
          <w:szCs w:val="31"/>
        </w:rPr>
        <w:t>费。截至</w:t>
      </w:r>
      <w:r>
        <w:rPr>
          <w:rFonts w:ascii="仿宋" w:hAnsi="仿宋" w:eastAsia="仿宋" w:cs="仿宋"/>
          <w:color w:val="auto"/>
          <w:spacing w:val="-57"/>
          <w:sz w:val="31"/>
          <w:szCs w:val="31"/>
        </w:rPr>
        <w:t xml:space="preserve"> </w:t>
      </w:r>
      <w:r>
        <w:rPr>
          <w:rFonts w:ascii="仿宋" w:hAnsi="仿宋" w:eastAsia="仿宋" w:cs="仿宋"/>
          <w:color w:val="auto"/>
          <w:spacing w:val="-7"/>
          <w:sz w:val="31"/>
          <w:szCs w:val="31"/>
        </w:rPr>
        <w:t>202</w:t>
      </w:r>
      <w:r>
        <w:rPr>
          <w:rFonts w:hint="eastAsia" w:ascii="仿宋" w:hAnsi="仿宋" w:eastAsia="仿宋" w:cs="仿宋"/>
          <w:color w:val="auto"/>
          <w:spacing w:val="-7"/>
          <w:sz w:val="31"/>
          <w:szCs w:val="31"/>
          <w:lang w:val="en-US" w:eastAsia="zh-CN"/>
        </w:rPr>
        <w:t>3</w:t>
      </w:r>
      <w:r>
        <w:rPr>
          <w:rFonts w:ascii="仿宋" w:hAnsi="仿宋" w:eastAsia="仿宋" w:cs="仿宋"/>
          <w:color w:val="auto"/>
          <w:spacing w:val="-47"/>
          <w:sz w:val="31"/>
          <w:szCs w:val="31"/>
        </w:rPr>
        <w:t xml:space="preserve"> </w:t>
      </w:r>
      <w:r>
        <w:rPr>
          <w:rFonts w:ascii="仿宋" w:hAnsi="仿宋" w:eastAsia="仿宋" w:cs="仿宋"/>
          <w:color w:val="auto"/>
          <w:spacing w:val="-7"/>
          <w:sz w:val="31"/>
          <w:szCs w:val="31"/>
        </w:rPr>
        <w:t>年</w:t>
      </w:r>
      <w:r>
        <w:rPr>
          <w:rFonts w:ascii="仿宋" w:hAnsi="仿宋" w:eastAsia="仿宋" w:cs="仿宋"/>
          <w:color w:val="auto"/>
          <w:spacing w:val="-41"/>
          <w:sz w:val="31"/>
          <w:szCs w:val="31"/>
        </w:rPr>
        <w:t xml:space="preserve"> </w:t>
      </w:r>
      <w:r>
        <w:rPr>
          <w:rFonts w:ascii="仿宋" w:hAnsi="仿宋" w:eastAsia="仿宋" w:cs="仿宋"/>
          <w:color w:val="auto"/>
          <w:spacing w:val="-7"/>
          <w:sz w:val="31"/>
          <w:szCs w:val="31"/>
        </w:rPr>
        <w:t>12</w:t>
      </w:r>
      <w:r>
        <w:rPr>
          <w:rFonts w:ascii="仿宋" w:hAnsi="仿宋" w:eastAsia="仿宋" w:cs="仿宋"/>
          <w:color w:val="auto"/>
          <w:spacing w:val="-38"/>
          <w:sz w:val="31"/>
          <w:szCs w:val="31"/>
        </w:rPr>
        <w:t xml:space="preserve"> </w:t>
      </w:r>
      <w:r>
        <w:rPr>
          <w:rFonts w:ascii="仿宋" w:hAnsi="仿宋" w:eastAsia="仿宋" w:cs="仿宋"/>
          <w:color w:val="auto"/>
          <w:spacing w:val="-7"/>
          <w:sz w:val="31"/>
          <w:szCs w:val="31"/>
        </w:rPr>
        <w:t>月</w:t>
      </w:r>
      <w:r>
        <w:rPr>
          <w:rFonts w:ascii="仿宋" w:hAnsi="仿宋" w:eastAsia="仿宋" w:cs="仿宋"/>
          <w:color w:val="auto"/>
          <w:spacing w:val="-56"/>
          <w:sz w:val="31"/>
          <w:szCs w:val="31"/>
        </w:rPr>
        <w:t xml:space="preserve"> </w:t>
      </w:r>
      <w:r>
        <w:rPr>
          <w:rFonts w:ascii="仿宋" w:hAnsi="仿宋" w:eastAsia="仿宋" w:cs="仿宋"/>
          <w:color w:val="auto"/>
          <w:spacing w:val="-7"/>
          <w:sz w:val="31"/>
          <w:szCs w:val="31"/>
        </w:rPr>
        <w:t>31 日，开支财政拨款的公务用车保有量为</w:t>
      </w:r>
      <w:r>
        <w:rPr>
          <w:rFonts w:ascii="仿宋" w:hAnsi="仿宋" w:eastAsia="仿宋" w:cs="仿宋"/>
          <w:color w:val="auto"/>
          <w:spacing w:val="-38"/>
          <w:sz w:val="31"/>
          <w:szCs w:val="31"/>
        </w:rPr>
        <w:t xml:space="preserve"> </w:t>
      </w:r>
      <w:r>
        <w:rPr>
          <w:rFonts w:ascii="仿宋" w:hAnsi="仿宋" w:eastAsia="仿宋" w:cs="仿宋"/>
          <w:color w:val="auto"/>
          <w:spacing w:val="-7"/>
          <w:sz w:val="31"/>
          <w:szCs w:val="31"/>
        </w:rPr>
        <w:t>1</w:t>
      </w:r>
      <w:r>
        <w:rPr>
          <w:rFonts w:ascii="仿宋" w:hAnsi="仿宋" w:eastAsia="仿宋" w:cs="仿宋"/>
          <w:color w:val="auto"/>
          <w:spacing w:val="-55"/>
          <w:sz w:val="31"/>
          <w:szCs w:val="31"/>
        </w:rPr>
        <w:t xml:space="preserve"> </w:t>
      </w:r>
      <w:r>
        <w:rPr>
          <w:rFonts w:ascii="仿宋" w:hAnsi="仿宋" w:eastAsia="仿宋" w:cs="仿宋"/>
          <w:color w:val="auto"/>
          <w:spacing w:val="-7"/>
          <w:sz w:val="31"/>
          <w:szCs w:val="31"/>
        </w:rPr>
        <w:t>辆。</w:t>
      </w:r>
    </w:p>
    <w:p w14:paraId="45239E59">
      <w:pPr>
        <w:spacing w:line="247" w:lineRule="auto"/>
        <w:rPr>
          <w:rFonts w:ascii="Arial"/>
          <w:color w:val="auto"/>
          <w:sz w:val="21"/>
        </w:rPr>
      </w:pPr>
    </w:p>
    <w:p w14:paraId="380B3F64">
      <w:pPr>
        <w:spacing w:before="102" w:line="351" w:lineRule="auto"/>
        <w:ind w:right="113" w:firstLine="638"/>
        <w:jc w:val="both"/>
        <w:rPr>
          <w:rFonts w:ascii="仿宋" w:hAnsi="仿宋" w:eastAsia="仿宋" w:cs="仿宋"/>
          <w:color w:val="auto"/>
          <w:sz w:val="31"/>
          <w:szCs w:val="31"/>
        </w:rPr>
      </w:pPr>
      <w:r>
        <w:rPr>
          <w:rFonts w:ascii="仿宋" w:hAnsi="仿宋" w:eastAsia="仿宋" w:cs="仿宋"/>
          <w:color w:val="auto"/>
          <w:spacing w:val="9"/>
          <w:sz w:val="31"/>
          <w:szCs w:val="31"/>
        </w:rPr>
        <w:t>3.公务接待费预算为</w:t>
      </w:r>
      <w:r>
        <w:rPr>
          <w:rFonts w:hint="eastAsia" w:ascii="仿宋" w:hAnsi="仿宋" w:eastAsia="仿宋" w:cs="仿宋"/>
          <w:color w:val="auto"/>
          <w:spacing w:val="-41"/>
          <w:sz w:val="31"/>
          <w:szCs w:val="31"/>
          <w:lang w:val="en-US" w:eastAsia="zh-CN"/>
        </w:rPr>
        <w:t>0.0 8</w:t>
      </w:r>
      <w:r>
        <w:rPr>
          <w:rFonts w:ascii="仿宋" w:hAnsi="仿宋" w:eastAsia="仿宋" w:cs="仿宋"/>
          <w:color w:val="auto"/>
          <w:spacing w:val="-41"/>
          <w:sz w:val="31"/>
          <w:szCs w:val="31"/>
        </w:rPr>
        <w:t>万元</w:t>
      </w:r>
      <w:r>
        <w:rPr>
          <w:rFonts w:ascii="仿宋" w:hAnsi="仿宋" w:eastAsia="仿宋" w:cs="仿宋"/>
          <w:color w:val="auto"/>
          <w:spacing w:val="9"/>
          <w:sz w:val="31"/>
          <w:szCs w:val="31"/>
        </w:rPr>
        <w:t>，支出决</w:t>
      </w:r>
      <w:r>
        <w:rPr>
          <w:rFonts w:ascii="仿宋" w:hAnsi="仿宋" w:eastAsia="仿宋" w:cs="仿宋"/>
          <w:color w:val="auto"/>
          <w:spacing w:val="8"/>
          <w:sz w:val="31"/>
          <w:szCs w:val="31"/>
        </w:rPr>
        <w:t>算为</w:t>
      </w:r>
      <w:r>
        <w:rPr>
          <w:rFonts w:hint="eastAsia" w:ascii="仿宋" w:hAnsi="仿宋" w:eastAsia="仿宋" w:cs="仿宋"/>
          <w:color w:val="auto"/>
          <w:spacing w:val="-54"/>
          <w:sz w:val="31"/>
          <w:szCs w:val="31"/>
          <w:lang w:val="en-US" w:eastAsia="zh-CN"/>
        </w:rPr>
        <w:t xml:space="preserve">0 </w:t>
      </w:r>
      <w:r>
        <w:rPr>
          <w:rFonts w:ascii="仿宋" w:hAnsi="仿宋" w:eastAsia="仿宋" w:cs="仿宋"/>
          <w:color w:val="auto"/>
          <w:spacing w:val="8"/>
          <w:sz w:val="31"/>
          <w:szCs w:val="31"/>
        </w:rPr>
        <w:t>万元，完成预</w:t>
      </w:r>
      <w:r>
        <w:rPr>
          <w:rFonts w:ascii="仿宋" w:hAnsi="仿宋" w:eastAsia="仿宋" w:cs="仿宋"/>
          <w:color w:val="auto"/>
          <w:spacing w:val="4"/>
          <w:sz w:val="31"/>
          <w:szCs w:val="31"/>
        </w:rPr>
        <w:t>算的</w:t>
      </w:r>
      <w:r>
        <w:rPr>
          <w:rFonts w:ascii="仿宋" w:hAnsi="仿宋" w:eastAsia="仿宋" w:cs="仿宋"/>
          <w:color w:val="auto"/>
          <w:spacing w:val="-38"/>
          <w:sz w:val="31"/>
          <w:szCs w:val="31"/>
        </w:rPr>
        <w:t xml:space="preserve"> </w:t>
      </w:r>
      <w:r>
        <w:rPr>
          <w:rFonts w:hint="eastAsia" w:ascii="仿宋" w:hAnsi="仿宋" w:eastAsia="仿宋" w:cs="仿宋"/>
          <w:color w:val="auto"/>
          <w:spacing w:val="4"/>
          <w:sz w:val="31"/>
          <w:szCs w:val="31"/>
          <w:lang w:val="en-US" w:eastAsia="zh-CN"/>
        </w:rPr>
        <w:t>0</w:t>
      </w:r>
      <w:r>
        <w:rPr>
          <w:rFonts w:ascii="仿宋" w:hAnsi="仿宋" w:eastAsia="仿宋" w:cs="仿宋"/>
          <w:color w:val="auto"/>
          <w:spacing w:val="4"/>
          <w:sz w:val="31"/>
          <w:szCs w:val="31"/>
        </w:rPr>
        <w:t>%，决算数较上年</w:t>
      </w:r>
      <w:r>
        <w:rPr>
          <w:rFonts w:hint="eastAsia" w:ascii="仿宋" w:hAnsi="仿宋" w:eastAsia="仿宋" w:cs="仿宋"/>
          <w:color w:val="auto"/>
          <w:spacing w:val="4"/>
          <w:sz w:val="31"/>
          <w:szCs w:val="31"/>
          <w:lang w:val="en-US" w:eastAsia="zh-CN"/>
        </w:rPr>
        <w:t>减少</w:t>
      </w:r>
      <w:r>
        <w:rPr>
          <w:rFonts w:ascii="仿宋" w:hAnsi="仿宋" w:eastAsia="仿宋" w:cs="仿宋"/>
          <w:color w:val="auto"/>
          <w:spacing w:val="-59"/>
          <w:sz w:val="31"/>
          <w:szCs w:val="31"/>
        </w:rPr>
        <w:t xml:space="preserve"> </w:t>
      </w:r>
      <w:r>
        <w:rPr>
          <w:rFonts w:ascii="仿宋" w:hAnsi="仿宋" w:eastAsia="仿宋" w:cs="仿宋"/>
          <w:color w:val="auto"/>
          <w:spacing w:val="4"/>
          <w:sz w:val="31"/>
          <w:szCs w:val="31"/>
        </w:rPr>
        <w:t>0.13</w:t>
      </w:r>
      <w:r>
        <w:rPr>
          <w:rFonts w:ascii="仿宋" w:hAnsi="仿宋" w:eastAsia="仿宋" w:cs="仿宋"/>
          <w:color w:val="auto"/>
          <w:spacing w:val="-51"/>
          <w:sz w:val="31"/>
          <w:szCs w:val="31"/>
        </w:rPr>
        <w:t xml:space="preserve"> </w:t>
      </w:r>
      <w:r>
        <w:rPr>
          <w:rFonts w:ascii="仿宋" w:hAnsi="仿宋" w:eastAsia="仿宋" w:cs="仿宋"/>
          <w:color w:val="auto"/>
          <w:spacing w:val="4"/>
          <w:sz w:val="31"/>
          <w:szCs w:val="31"/>
        </w:rPr>
        <w:t>万元</w:t>
      </w:r>
      <w:r>
        <w:rPr>
          <w:rFonts w:ascii="仿宋" w:hAnsi="仿宋" w:eastAsia="仿宋" w:cs="仿宋"/>
          <w:color w:val="auto"/>
          <w:spacing w:val="3"/>
          <w:sz w:val="31"/>
          <w:szCs w:val="31"/>
        </w:rPr>
        <w:t>。决算数小于预算</w:t>
      </w:r>
      <w:r>
        <w:rPr>
          <w:rFonts w:ascii="仿宋" w:hAnsi="仿宋" w:eastAsia="仿宋" w:cs="仿宋"/>
          <w:color w:val="auto"/>
          <w:spacing w:val="8"/>
          <w:sz w:val="31"/>
          <w:szCs w:val="31"/>
        </w:rPr>
        <w:t>数的主要原因：本单位节约开支。其中：</w:t>
      </w:r>
    </w:p>
    <w:p w14:paraId="5304C2C7">
      <w:pPr>
        <w:spacing w:before="5" w:line="359" w:lineRule="auto"/>
        <w:ind w:left="2" w:right="113" w:firstLine="643"/>
        <w:jc w:val="both"/>
        <w:rPr>
          <w:rFonts w:ascii="仿宋" w:hAnsi="仿宋" w:eastAsia="仿宋" w:cs="仿宋"/>
          <w:color w:val="auto"/>
          <w:sz w:val="31"/>
          <w:szCs w:val="31"/>
        </w:rPr>
      </w:pPr>
      <w:r>
        <w:rPr>
          <w:rFonts w:ascii="仿宋" w:hAnsi="仿宋" w:eastAsia="仿宋" w:cs="仿宋"/>
          <w:color w:val="auto"/>
          <w:spacing w:val="11"/>
          <w:sz w:val="31"/>
          <w:szCs w:val="31"/>
        </w:rPr>
        <w:t>外宾接待支出</w:t>
      </w:r>
      <w:r>
        <w:rPr>
          <w:rFonts w:ascii="仿宋" w:hAnsi="仿宋" w:eastAsia="仿宋" w:cs="仿宋"/>
          <w:color w:val="auto"/>
          <w:spacing w:val="-40"/>
          <w:sz w:val="31"/>
          <w:szCs w:val="31"/>
        </w:rPr>
        <w:t xml:space="preserve"> </w:t>
      </w:r>
      <w:r>
        <w:rPr>
          <w:rFonts w:ascii="仿宋" w:hAnsi="仿宋" w:eastAsia="仿宋" w:cs="仿宋"/>
          <w:color w:val="auto"/>
          <w:spacing w:val="11"/>
          <w:sz w:val="31"/>
          <w:szCs w:val="31"/>
        </w:rPr>
        <w:t>0</w:t>
      </w:r>
      <w:r>
        <w:rPr>
          <w:rFonts w:ascii="仿宋" w:hAnsi="仿宋" w:eastAsia="仿宋" w:cs="仿宋"/>
          <w:color w:val="auto"/>
          <w:spacing w:val="-43"/>
          <w:sz w:val="31"/>
          <w:szCs w:val="31"/>
        </w:rPr>
        <w:t xml:space="preserve"> </w:t>
      </w:r>
      <w:r>
        <w:rPr>
          <w:rFonts w:ascii="仿宋" w:hAnsi="仿宋" w:eastAsia="仿宋" w:cs="仿宋"/>
          <w:color w:val="auto"/>
          <w:spacing w:val="11"/>
          <w:sz w:val="31"/>
          <w:szCs w:val="31"/>
        </w:rPr>
        <w:t>元，主要是本单位今年未接待外宾，无相关工作</w:t>
      </w:r>
      <w:r>
        <w:rPr>
          <w:rFonts w:ascii="仿宋" w:hAnsi="仿宋" w:eastAsia="仿宋" w:cs="仿宋"/>
          <w:color w:val="auto"/>
          <w:sz w:val="31"/>
          <w:szCs w:val="31"/>
        </w:rPr>
        <w:t xml:space="preserve"> </w:t>
      </w:r>
      <w:r>
        <w:rPr>
          <w:rFonts w:ascii="仿宋" w:hAnsi="仿宋" w:eastAsia="仿宋" w:cs="仿宋"/>
          <w:color w:val="auto"/>
          <w:spacing w:val="7"/>
          <w:sz w:val="31"/>
          <w:szCs w:val="31"/>
        </w:rPr>
        <w:t>项目。202</w:t>
      </w:r>
      <w:r>
        <w:rPr>
          <w:rFonts w:hint="eastAsia" w:ascii="仿宋" w:hAnsi="仿宋" w:eastAsia="仿宋" w:cs="仿宋"/>
          <w:color w:val="auto"/>
          <w:spacing w:val="7"/>
          <w:sz w:val="31"/>
          <w:szCs w:val="31"/>
          <w:lang w:val="en-US" w:eastAsia="zh-CN"/>
        </w:rPr>
        <w:t>3</w:t>
      </w:r>
      <w:r>
        <w:rPr>
          <w:rFonts w:ascii="仿宋" w:hAnsi="仿宋" w:eastAsia="仿宋" w:cs="仿宋"/>
          <w:color w:val="auto"/>
          <w:spacing w:val="-40"/>
          <w:sz w:val="31"/>
          <w:szCs w:val="31"/>
        </w:rPr>
        <w:t xml:space="preserve"> </w:t>
      </w:r>
      <w:r>
        <w:rPr>
          <w:rFonts w:ascii="仿宋" w:hAnsi="仿宋" w:eastAsia="仿宋" w:cs="仿宋"/>
          <w:color w:val="auto"/>
          <w:spacing w:val="7"/>
          <w:sz w:val="31"/>
          <w:szCs w:val="31"/>
        </w:rPr>
        <w:t>年共接待来访团组</w:t>
      </w:r>
      <w:r>
        <w:rPr>
          <w:rFonts w:ascii="仿宋" w:hAnsi="仿宋" w:eastAsia="仿宋" w:cs="仿宋"/>
          <w:color w:val="auto"/>
          <w:spacing w:val="-57"/>
          <w:sz w:val="31"/>
          <w:szCs w:val="31"/>
        </w:rPr>
        <w:t xml:space="preserve"> </w:t>
      </w:r>
      <w:r>
        <w:rPr>
          <w:rFonts w:ascii="仿宋" w:hAnsi="仿宋" w:eastAsia="仿宋" w:cs="仿宋"/>
          <w:color w:val="auto"/>
          <w:spacing w:val="7"/>
          <w:sz w:val="31"/>
          <w:szCs w:val="31"/>
        </w:rPr>
        <w:t>0</w:t>
      </w:r>
      <w:r>
        <w:rPr>
          <w:rFonts w:ascii="仿宋" w:hAnsi="仿宋" w:eastAsia="仿宋" w:cs="仿宋"/>
          <w:color w:val="auto"/>
          <w:spacing w:val="-48"/>
          <w:sz w:val="31"/>
          <w:szCs w:val="31"/>
        </w:rPr>
        <w:t xml:space="preserve"> </w:t>
      </w:r>
      <w:r>
        <w:rPr>
          <w:rFonts w:ascii="仿宋" w:hAnsi="仿宋" w:eastAsia="仿宋" w:cs="仿宋"/>
          <w:color w:val="auto"/>
          <w:spacing w:val="7"/>
          <w:sz w:val="31"/>
          <w:szCs w:val="31"/>
        </w:rPr>
        <w:t>个，0</w:t>
      </w:r>
      <w:r>
        <w:rPr>
          <w:rFonts w:ascii="仿宋" w:hAnsi="仿宋" w:eastAsia="仿宋" w:cs="仿宋"/>
          <w:color w:val="auto"/>
          <w:spacing w:val="-43"/>
          <w:sz w:val="31"/>
          <w:szCs w:val="31"/>
        </w:rPr>
        <w:t xml:space="preserve"> </w:t>
      </w:r>
      <w:r>
        <w:rPr>
          <w:rFonts w:ascii="仿宋" w:hAnsi="仿宋" w:eastAsia="仿宋" w:cs="仿宋"/>
          <w:color w:val="auto"/>
          <w:spacing w:val="7"/>
          <w:sz w:val="31"/>
          <w:szCs w:val="31"/>
        </w:rPr>
        <w:t>人次（不</w:t>
      </w:r>
      <w:r>
        <w:rPr>
          <w:rFonts w:ascii="仿宋" w:hAnsi="仿宋" w:eastAsia="仿宋" w:cs="仿宋"/>
          <w:color w:val="auto"/>
          <w:spacing w:val="6"/>
          <w:sz w:val="31"/>
          <w:szCs w:val="31"/>
        </w:rPr>
        <w:t>包括陪同人员）</w:t>
      </w:r>
      <w:r>
        <w:rPr>
          <w:rFonts w:ascii="仿宋" w:hAnsi="仿宋" w:eastAsia="仿宋" w:cs="仿宋"/>
          <w:color w:val="auto"/>
          <w:spacing w:val="-89"/>
          <w:sz w:val="31"/>
          <w:szCs w:val="31"/>
        </w:rPr>
        <w:t xml:space="preserve"> </w:t>
      </w:r>
      <w:r>
        <w:rPr>
          <w:rFonts w:ascii="仿宋" w:hAnsi="仿宋" w:eastAsia="仿宋" w:cs="仿宋"/>
          <w:color w:val="auto"/>
          <w:spacing w:val="6"/>
          <w:sz w:val="31"/>
          <w:szCs w:val="31"/>
        </w:rPr>
        <w:t>。来</w:t>
      </w:r>
      <w:r>
        <w:rPr>
          <w:rFonts w:ascii="仿宋" w:hAnsi="仿宋" w:eastAsia="仿宋" w:cs="仿宋"/>
          <w:color w:val="auto"/>
          <w:sz w:val="31"/>
          <w:szCs w:val="31"/>
        </w:rPr>
        <w:t xml:space="preserve"> </w:t>
      </w:r>
      <w:r>
        <w:rPr>
          <w:rFonts w:ascii="仿宋" w:hAnsi="仿宋" w:eastAsia="仿宋" w:cs="仿宋"/>
          <w:color w:val="auto"/>
          <w:spacing w:val="8"/>
          <w:sz w:val="31"/>
          <w:szCs w:val="31"/>
        </w:rPr>
        <w:t>访对象主要是本单位今年未接待外宾。</w:t>
      </w:r>
    </w:p>
    <w:p w14:paraId="069402B6">
      <w:pPr>
        <w:keepNext w:val="0"/>
        <w:keepLines w:val="0"/>
        <w:pageBreakBefore w:val="0"/>
        <w:widowControl/>
        <w:kinsoku w:val="0"/>
        <w:wordWrap/>
        <w:overflowPunct/>
        <w:topLinePunct w:val="0"/>
        <w:autoSpaceDE w:val="0"/>
        <w:autoSpaceDN w:val="0"/>
        <w:bidi w:val="0"/>
        <w:adjustRightInd w:val="0"/>
        <w:snapToGrid w:val="0"/>
        <w:spacing w:before="52" w:line="360" w:lineRule="auto"/>
        <w:ind w:left="2" w:right="111" w:firstLine="675"/>
        <w:jc w:val="both"/>
        <w:textAlignment w:val="baseline"/>
        <w:rPr>
          <w:rFonts w:ascii="仿宋" w:hAnsi="仿宋" w:eastAsia="仿宋" w:cs="仿宋"/>
          <w:color w:val="auto"/>
          <w:sz w:val="31"/>
          <w:szCs w:val="31"/>
        </w:rPr>
      </w:pPr>
      <w:r>
        <w:rPr>
          <w:rFonts w:ascii="仿宋" w:hAnsi="仿宋" w:eastAsia="仿宋" w:cs="仿宋"/>
          <w:color w:val="auto"/>
          <w:spacing w:val="5"/>
          <w:sz w:val="31"/>
          <w:szCs w:val="31"/>
        </w:rPr>
        <w:t>国内公务接待支出</w:t>
      </w:r>
      <w:r>
        <w:rPr>
          <w:rFonts w:ascii="仿宋" w:hAnsi="仿宋" w:eastAsia="仿宋" w:cs="仿宋"/>
          <w:color w:val="auto"/>
          <w:spacing w:val="-60"/>
          <w:sz w:val="31"/>
          <w:szCs w:val="31"/>
        </w:rPr>
        <w:t xml:space="preserve"> </w:t>
      </w:r>
      <w:r>
        <w:rPr>
          <w:rFonts w:hint="eastAsia" w:ascii="仿宋" w:hAnsi="仿宋" w:eastAsia="仿宋" w:cs="仿宋"/>
          <w:color w:val="auto"/>
          <w:spacing w:val="5"/>
          <w:sz w:val="31"/>
          <w:szCs w:val="31"/>
          <w:lang w:val="en-US" w:eastAsia="zh-CN"/>
        </w:rPr>
        <w:t>0</w:t>
      </w:r>
      <w:r>
        <w:rPr>
          <w:rFonts w:ascii="仿宋" w:hAnsi="仿宋" w:eastAsia="仿宋" w:cs="仿宋"/>
          <w:color w:val="auto"/>
          <w:spacing w:val="5"/>
          <w:sz w:val="31"/>
          <w:szCs w:val="31"/>
        </w:rPr>
        <w:t>万元，</w:t>
      </w:r>
      <w:r>
        <w:rPr>
          <w:rFonts w:ascii="仿宋" w:hAnsi="仿宋" w:eastAsia="仿宋" w:cs="仿宋"/>
          <w:color w:val="auto"/>
          <w:spacing w:val="7"/>
          <w:sz w:val="31"/>
          <w:szCs w:val="31"/>
        </w:rPr>
        <w:t>202</w:t>
      </w:r>
      <w:r>
        <w:rPr>
          <w:rFonts w:hint="eastAsia" w:ascii="仿宋" w:hAnsi="仿宋" w:eastAsia="仿宋" w:cs="仿宋"/>
          <w:color w:val="auto"/>
          <w:spacing w:val="7"/>
          <w:sz w:val="31"/>
          <w:szCs w:val="31"/>
          <w:lang w:val="en-US" w:eastAsia="zh-CN"/>
        </w:rPr>
        <w:t>3</w:t>
      </w:r>
      <w:r>
        <w:rPr>
          <w:rFonts w:ascii="仿宋" w:hAnsi="仿宋" w:eastAsia="仿宋" w:cs="仿宋"/>
          <w:color w:val="auto"/>
          <w:spacing w:val="-30"/>
          <w:sz w:val="31"/>
          <w:szCs w:val="31"/>
        </w:rPr>
        <w:t xml:space="preserve"> </w:t>
      </w:r>
      <w:r>
        <w:rPr>
          <w:rFonts w:ascii="仿宋" w:hAnsi="仿宋" w:eastAsia="仿宋" w:cs="仿宋"/>
          <w:color w:val="auto"/>
          <w:spacing w:val="7"/>
          <w:sz w:val="31"/>
          <w:szCs w:val="31"/>
        </w:rPr>
        <w:t xml:space="preserve">年共接待国内来访团组 </w:t>
      </w:r>
      <w:r>
        <w:rPr>
          <w:rFonts w:hint="eastAsia" w:ascii="仿宋" w:hAnsi="仿宋" w:eastAsia="仿宋" w:cs="仿宋"/>
          <w:color w:val="auto"/>
          <w:spacing w:val="7"/>
          <w:sz w:val="31"/>
          <w:szCs w:val="31"/>
          <w:lang w:val="en-US" w:eastAsia="zh-CN"/>
        </w:rPr>
        <w:t>0</w:t>
      </w:r>
      <w:r>
        <w:rPr>
          <w:rFonts w:ascii="仿宋" w:hAnsi="仿宋" w:eastAsia="仿宋" w:cs="仿宋"/>
          <w:color w:val="auto"/>
          <w:spacing w:val="5"/>
          <w:sz w:val="31"/>
          <w:szCs w:val="31"/>
        </w:rPr>
        <w:t>个，</w:t>
      </w:r>
      <w:r>
        <w:rPr>
          <w:rFonts w:hint="eastAsia" w:ascii="仿宋" w:hAnsi="仿宋" w:eastAsia="仿宋" w:cs="仿宋"/>
          <w:color w:val="auto"/>
          <w:spacing w:val="5"/>
          <w:sz w:val="31"/>
          <w:szCs w:val="31"/>
          <w:lang w:val="en-US" w:eastAsia="zh-CN"/>
        </w:rPr>
        <w:t>0</w:t>
      </w:r>
      <w:r>
        <w:rPr>
          <w:rFonts w:ascii="仿宋" w:hAnsi="仿宋" w:eastAsia="仿宋" w:cs="仿宋"/>
          <w:color w:val="auto"/>
          <w:spacing w:val="-49"/>
          <w:sz w:val="31"/>
          <w:szCs w:val="31"/>
        </w:rPr>
        <w:t xml:space="preserve"> </w:t>
      </w:r>
      <w:r>
        <w:rPr>
          <w:rFonts w:ascii="仿宋" w:hAnsi="仿宋" w:eastAsia="仿宋" w:cs="仿宋"/>
          <w:color w:val="auto"/>
          <w:spacing w:val="5"/>
          <w:sz w:val="31"/>
          <w:szCs w:val="31"/>
        </w:rPr>
        <w:t>人次（不包括陪同人员）。</w:t>
      </w:r>
    </w:p>
    <w:p w14:paraId="35B94448">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before="156" w:line="360" w:lineRule="auto"/>
        <w:ind w:left="636"/>
        <w:textAlignment w:val="baseline"/>
        <w:rPr>
          <w:color w:val="auto"/>
          <w:spacing w:val="8"/>
        </w:rPr>
      </w:pPr>
      <w:r>
        <w:rPr>
          <w:color w:val="auto"/>
          <w:spacing w:val="8"/>
        </w:rPr>
        <w:t>机关运行经费支出说明</w:t>
      </w:r>
    </w:p>
    <w:p w14:paraId="12B46C22">
      <w:pPr>
        <w:keepNext w:val="0"/>
        <w:keepLines w:val="0"/>
        <w:pageBreakBefore w:val="0"/>
        <w:widowControl/>
        <w:kinsoku w:val="0"/>
        <w:wordWrap/>
        <w:overflowPunct/>
        <w:topLinePunct w:val="0"/>
        <w:autoSpaceDE w:val="0"/>
        <w:autoSpaceDN w:val="0"/>
        <w:bidi w:val="0"/>
        <w:adjustRightInd w:val="0"/>
        <w:snapToGrid w:val="0"/>
        <w:spacing w:before="52" w:line="360" w:lineRule="auto"/>
        <w:ind w:left="1" w:firstLine="653"/>
        <w:textAlignment w:val="baseline"/>
        <w:rPr>
          <w:rFonts w:ascii="仿宋" w:hAnsi="仿宋" w:eastAsia="仿宋" w:cs="仿宋"/>
          <w:color w:val="auto"/>
          <w:spacing w:val="8"/>
          <w:sz w:val="31"/>
          <w:szCs w:val="31"/>
        </w:rPr>
      </w:pPr>
      <w:r>
        <w:rPr>
          <w:rFonts w:ascii="仿宋" w:hAnsi="仿宋" w:eastAsia="仿宋" w:cs="仿宋"/>
          <w:color w:val="auto"/>
          <w:spacing w:val="5"/>
          <w:sz w:val="31"/>
          <w:szCs w:val="31"/>
        </w:rPr>
        <w:t>鄂州市自然资源和规划局鄂城分局 202</w:t>
      </w:r>
      <w:r>
        <w:rPr>
          <w:rFonts w:hint="eastAsia" w:ascii="仿宋" w:hAnsi="仿宋" w:eastAsia="仿宋" w:cs="仿宋"/>
          <w:color w:val="auto"/>
          <w:spacing w:val="5"/>
          <w:sz w:val="31"/>
          <w:szCs w:val="31"/>
          <w:lang w:val="en-US" w:eastAsia="zh-CN"/>
        </w:rPr>
        <w:t>3</w:t>
      </w:r>
      <w:r>
        <w:rPr>
          <w:rFonts w:ascii="仿宋" w:hAnsi="仿宋" w:eastAsia="仿宋" w:cs="仿宋"/>
          <w:color w:val="auto"/>
          <w:spacing w:val="5"/>
          <w:sz w:val="31"/>
          <w:szCs w:val="31"/>
        </w:rPr>
        <w:t xml:space="preserve"> 年度机关运行经费支出</w:t>
      </w:r>
      <w:r>
        <w:rPr>
          <w:rFonts w:hint="eastAsia" w:ascii="仿宋" w:hAnsi="仿宋" w:eastAsia="仿宋" w:cs="仿宋"/>
          <w:color w:val="auto"/>
          <w:spacing w:val="5"/>
          <w:sz w:val="31"/>
          <w:szCs w:val="31"/>
          <w:lang w:val="en-US" w:eastAsia="zh-CN"/>
        </w:rPr>
        <w:t>32.8</w:t>
      </w:r>
      <w:r>
        <w:rPr>
          <w:rFonts w:ascii="仿宋" w:hAnsi="仿宋" w:eastAsia="仿宋" w:cs="仿宋"/>
          <w:color w:val="auto"/>
          <w:spacing w:val="5"/>
          <w:sz w:val="31"/>
          <w:szCs w:val="31"/>
        </w:rPr>
        <w:t>万元， 比年初预算数</w:t>
      </w:r>
      <w:r>
        <w:rPr>
          <w:rFonts w:hint="eastAsia" w:ascii="仿宋" w:hAnsi="仿宋" w:eastAsia="仿宋" w:cs="仿宋"/>
          <w:color w:val="auto"/>
          <w:spacing w:val="5"/>
          <w:sz w:val="31"/>
          <w:szCs w:val="31"/>
          <w:lang w:val="en-US" w:eastAsia="zh-CN"/>
        </w:rPr>
        <w:t>增加16.35</w:t>
      </w:r>
      <w:r>
        <w:rPr>
          <w:rFonts w:ascii="仿宋" w:hAnsi="仿宋" w:eastAsia="仿宋" w:cs="仿宋"/>
          <w:color w:val="auto"/>
          <w:spacing w:val="5"/>
          <w:sz w:val="31"/>
          <w:szCs w:val="31"/>
        </w:rPr>
        <w:t>万元，主要原因是：</w:t>
      </w:r>
      <w:r>
        <w:rPr>
          <w:rFonts w:hint="eastAsia" w:ascii="仿宋" w:hAnsi="仿宋" w:eastAsia="仿宋" w:cs="仿宋"/>
          <w:color w:val="auto"/>
          <w:spacing w:val="8"/>
          <w:sz w:val="31"/>
          <w:szCs w:val="31"/>
        </w:rPr>
        <w:t>使用以前年度结转资金，导致实际支出超过预算。</w:t>
      </w:r>
    </w:p>
    <w:p w14:paraId="25B4183E">
      <w:pPr>
        <w:pStyle w:val="2"/>
        <w:spacing w:before="157" w:line="226" w:lineRule="auto"/>
        <w:ind w:left="636"/>
        <w:rPr>
          <w:color w:val="auto"/>
        </w:rPr>
      </w:pPr>
      <w:r>
        <w:rPr>
          <w:color w:val="auto"/>
          <w:spacing w:val="8"/>
        </w:rPr>
        <w:t>十一、政府采购支出说明</w:t>
      </w:r>
    </w:p>
    <w:p w14:paraId="2E443F99">
      <w:pPr>
        <w:spacing w:before="245" w:line="367" w:lineRule="auto"/>
        <w:ind w:firstLine="643"/>
        <w:rPr>
          <w:rFonts w:ascii="仿宋" w:hAnsi="仿宋" w:eastAsia="仿宋" w:cs="仿宋"/>
          <w:color w:val="auto"/>
          <w:sz w:val="31"/>
          <w:szCs w:val="31"/>
        </w:rPr>
      </w:pPr>
      <w:r>
        <w:rPr>
          <w:rFonts w:ascii="仿宋" w:hAnsi="仿宋" w:eastAsia="仿宋" w:cs="仿宋"/>
          <w:color w:val="auto"/>
          <w:spacing w:val="2"/>
          <w:sz w:val="31"/>
          <w:szCs w:val="31"/>
        </w:rPr>
        <w:t>本部门 202</w:t>
      </w:r>
      <w:r>
        <w:rPr>
          <w:rFonts w:hint="eastAsia" w:ascii="仿宋" w:hAnsi="仿宋" w:eastAsia="仿宋" w:cs="仿宋"/>
          <w:color w:val="auto"/>
          <w:spacing w:val="2"/>
          <w:sz w:val="31"/>
          <w:szCs w:val="31"/>
          <w:lang w:val="en-US" w:eastAsia="zh-CN"/>
        </w:rPr>
        <w:t>3</w:t>
      </w:r>
      <w:r>
        <w:rPr>
          <w:rFonts w:ascii="仿宋" w:hAnsi="仿宋" w:eastAsia="仿宋" w:cs="仿宋"/>
          <w:color w:val="auto"/>
          <w:spacing w:val="-32"/>
          <w:sz w:val="31"/>
          <w:szCs w:val="31"/>
        </w:rPr>
        <w:t xml:space="preserve"> </w:t>
      </w:r>
      <w:r>
        <w:rPr>
          <w:rFonts w:ascii="仿宋" w:hAnsi="仿宋" w:eastAsia="仿宋" w:cs="仿宋"/>
          <w:color w:val="auto"/>
          <w:spacing w:val="2"/>
          <w:sz w:val="31"/>
          <w:szCs w:val="31"/>
        </w:rPr>
        <w:t>年度政府采购支出总额</w:t>
      </w:r>
      <w:r>
        <w:rPr>
          <w:rFonts w:ascii="仿宋" w:hAnsi="仿宋" w:eastAsia="仿宋" w:cs="仿宋"/>
          <w:color w:val="auto"/>
          <w:spacing w:val="-59"/>
          <w:sz w:val="31"/>
          <w:szCs w:val="31"/>
        </w:rPr>
        <w:t xml:space="preserve"> </w:t>
      </w:r>
      <w:r>
        <w:rPr>
          <w:rFonts w:ascii="仿宋" w:hAnsi="仿宋" w:eastAsia="仿宋" w:cs="仿宋"/>
          <w:color w:val="auto"/>
          <w:spacing w:val="2"/>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2"/>
          <w:sz w:val="31"/>
          <w:szCs w:val="31"/>
        </w:rPr>
        <w:t>万元，其中：政府采购货物</w:t>
      </w:r>
      <w:r>
        <w:rPr>
          <w:rFonts w:ascii="仿宋" w:hAnsi="仿宋" w:eastAsia="仿宋" w:cs="仿宋"/>
          <w:color w:val="auto"/>
          <w:sz w:val="31"/>
          <w:szCs w:val="31"/>
        </w:rPr>
        <w:t xml:space="preserve"> </w:t>
      </w:r>
      <w:r>
        <w:rPr>
          <w:rFonts w:ascii="仿宋" w:hAnsi="仿宋" w:eastAsia="仿宋" w:cs="仿宋"/>
          <w:color w:val="auto"/>
          <w:spacing w:val="5"/>
          <w:sz w:val="31"/>
          <w:szCs w:val="31"/>
        </w:rPr>
        <w:t>支出 0</w:t>
      </w:r>
      <w:r>
        <w:rPr>
          <w:rFonts w:ascii="仿宋" w:hAnsi="仿宋" w:eastAsia="仿宋" w:cs="仿宋"/>
          <w:color w:val="auto"/>
          <w:spacing w:val="-51"/>
          <w:sz w:val="31"/>
          <w:szCs w:val="31"/>
        </w:rPr>
        <w:t xml:space="preserve"> </w:t>
      </w:r>
      <w:r>
        <w:rPr>
          <w:rFonts w:ascii="仿宋" w:hAnsi="仿宋" w:eastAsia="仿宋" w:cs="仿宋"/>
          <w:color w:val="auto"/>
          <w:spacing w:val="5"/>
          <w:sz w:val="31"/>
          <w:szCs w:val="31"/>
        </w:rPr>
        <w:t>万元、政府采购工程支出 0</w:t>
      </w:r>
      <w:r>
        <w:rPr>
          <w:rFonts w:ascii="仿宋" w:hAnsi="仿宋" w:eastAsia="仿宋" w:cs="仿宋"/>
          <w:color w:val="auto"/>
          <w:spacing w:val="-51"/>
          <w:sz w:val="31"/>
          <w:szCs w:val="31"/>
        </w:rPr>
        <w:t xml:space="preserve"> </w:t>
      </w:r>
      <w:r>
        <w:rPr>
          <w:rFonts w:ascii="仿宋" w:hAnsi="仿宋" w:eastAsia="仿宋" w:cs="仿宋"/>
          <w:color w:val="auto"/>
          <w:spacing w:val="5"/>
          <w:sz w:val="31"/>
          <w:szCs w:val="31"/>
        </w:rPr>
        <w:t>万元、政府采购服务支</w:t>
      </w:r>
      <w:r>
        <w:rPr>
          <w:rFonts w:ascii="仿宋" w:hAnsi="仿宋" w:eastAsia="仿宋" w:cs="仿宋"/>
          <w:color w:val="auto"/>
          <w:spacing w:val="4"/>
          <w:sz w:val="31"/>
          <w:szCs w:val="31"/>
        </w:rPr>
        <w:t>出</w:t>
      </w:r>
      <w:r>
        <w:rPr>
          <w:rFonts w:ascii="仿宋" w:hAnsi="仿宋" w:eastAsia="仿宋" w:cs="仿宋"/>
          <w:color w:val="auto"/>
          <w:spacing w:val="-59"/>
          <w:sz w:val="31"/>
          <w:szCs w:val="31"/>
        </w:rPr>
        <w:t xml:space="preserve"> </w:t>
      </w:r>
      <w:r>
        <w:rPr>
          <w:rFonts w:ascii="仿宋" w:hAnsi="仿宋" w:eastAsia="仿宋" w:cs="仿宋"/>
          <w:color w:val="auto"/>
          <w:spacing w:val="4"/>
          <w:sz w:val="31"/>
          <w:szCs w:val="31"/>
        </w:rPr>
        <w:t>0</w:t>
      </w:r>
      <w:r>
        <w:rPr>
          <w:rFonts w:ascii="仿宋" w:hAnsi="仿宋" w:eastAsia="仿宋" w:cs="仿宋"/>
          <w:color w:val="auto"/>
          <w:spacing w:val="-51"/>
          <w:sz w:val="31"/>
          <w:szCs w:val="31"/>
        </w:rPr>
        <w:t xml:space="preserve"> </w:t>
      </w:r>
      <w:r>
        <w:rPr>
          <w:rFonts w:ascii="仿宋" w:hAnsi="仿宋" w:eastAsia="仿宋" w:cs="仿宋"/>
          <w:color w:val="auto"/>
          <w:spacing w:val="4"/>
          <w:sz w:val="31"/>
          <w:szCs w:val="31"/>
        </w:rPr>
        <w:t>万元。</w:t>
      </w:r>
      <w:r>
        <w:rPr>
          <w:rFonts w:ascii="仿宋" w:hAnsi="仿宋" w:eastAsia="仿宋" w:cs="仿宋"/>
          <w:color w:val="auto"/>
          <w:sz w:val="31"/>
          <w:szCs w:val="31"/>
        </w:rPr>
        <w:t xml:space="preserve"> </w:t>
      </w:r>
      <w:r>
        <w:rPr>
          <w:rFonts w:ascii="仿宋" w:hAnsi="仿宋" w:eastAsia="仿宋" w:cs="仿宋"/>
          <w:color w:val="auto"/>
          <w:spacing w:val="6"/>
          <w:sz w:val="31"/>
          <w:szCs w:val="31"/>
        </w:rPr>
        <w:t>授予中小企业合同金额</w:t>
      </w:r>
      <w:r>
        <w:rPr>
          <w:rFonts w:ascii="仿宋" w:hAnsi="仿宋" w:eastAsia="仿宋" w:cs="仿宋"/>
          <w:color w:val="auto"/>
          <w:spacing w:val="-59"/>
          <w:sz w:val="31"/>
          <w:szCs w:val="31"/>
        </w:rPr>
        <w:t xml:space="preserve"> </w:t>
      </w:r>
      <w:r>
        <w:rPr>
          <w:rFonts w:ascii="仿宋" w:hAnsi="仿宋" w:eastAsia="仿宋" w:cs="仿宋"/>
          <w:color w:val="auto"/>
          <w:spacing w:val="6"/>
          <w:sz w:val="31"/>
          <w:szCs w:val="31"/>
        </w:rPr>
        <w:t>0</w:t>
      </w:r>
      <w:r>
        <w:rPr>
          <w:rFonts w:ascii="仿宋" w:hAnsi="仿宋" w:eastAsia="仿宋" w:cs="仿宋"/>
          <w:color w:val="auto"/>
          <w:spacing w:val="-48"/>
          <w:sz w:val="31"/>
          <w:szCs w:val="31"/>
        </w:rPr>
        <w:t xml:space="preserve"> </w:t>
      </w:r>
      <w:r>
        <w:rPr>
          <w:rFonts w:ascii="仿宋" w:hAnsi="仿宋" w:eastAsia="仿宋" w:cs="仿宋"/>
          <w:color w:val="auto"/>
          <w:spacing w:val="6"/>
          <w:sz w:val="31"/>
          <w:szCs w:val="31"/>
        </w:rPr>
        <w:t>万元，</w:t>
      </w:r>
      <w:r>
        <w:rPr>
          <w:rFonts w:ascii="仿宋" w:hAnsi="仿宋" w:eastAsia="仿宋" w:cs="仿宋"/>
          <w:color w:val="auto"/>
          <w:spacing w:val="-71"/>
          <w:sz w:val="31"/>
          <w:szCs w:val="31"/>
        </w:rPr>
        <w:t xml:space="preserve"> </w:t>
      </w:r>
      <w:r>
        <w:rPr>
          <w:rFonts w:ascii="仿宋" w:hAnsi="仿宋" w:eastAsia="仿宋" w:cs="仿宋"/>
          <w:color w:val="auto"/>
          <w:spacing w:val="6"/>
          <w:sz w:val="31"/>
          <w:szCs w:val="31"/>
        </w:rPr>
        <w:t>占政府采购支</w:t>
      </w:r>
      <w:r>
        <w:rPr>
          <w:rFonts w:ascii="仿宋" w:hAnsi="仿宋" w:eastAsia="仿宋" w:cs="仿宋"/>
          <w:color w:val="auto"/>
          <w:spacing w:val="5"/>
          <w:sz w:val="31"/>
          <w:szCs w:val="31"/>
        </w:rPr>
        <w:t>出总额的</w:t>
      </w:r>
      <w:r>
        <w:rPr>
          <w:rFonts w:ascii="仿宋" w:hAnsi="仿宋" w:eastAsia="仿宋" w:cs="仿宋"/>
          <w:color w:val="auto"/>
          <w:spacing w:val="-57"/>
          <w:sz w:val="31"/>
          <w:szCs w:val="31"/>
        </w:rPr>
        <w:t xml:space="preserve"> </w:t>
      </w:r>
      <w:r>
        <w:rPr>
          <w:rFonts w:ascii="仿宋" w:hAnsi="仿宋" w:eastAsia="仿宋" w:cs="仿宋"/>
          <w:color w:val="auto"/>
          <w:spacing w:val="5"/>
          <w:sz w:val="31"/>
          <w:szCs w:val="31"/>
        </w:rPr>
        <w:t>0%，其中：授</w:t>
      </w:r>
      <w:r>
        <w:rPr>
          <w:rFonts w:ascii="仿宋" w:hAnsi="仿宋" w:eastAsia="仿宋" w:cs="仿宋"/>
          <w:color w:val="auto"/>
          <w:sz w:val="31"/>
          <w:szCs w:val="31"/>
        </w:rPr>
        <w:t xml:space="preserve"> </w:t>
      </w:r>
      <w:r>
        <w:rPr>
          <w:rFonts w:ascii="仿宋" w:hAnsi="仿宋" w:eastAsia="仿宋" w:cs="仿宋"/>
          <w:color w:val="auto"/>
          <w:spacing w:val="9"/>
          <w:sz w:val="31"/>
          <w:szCs w:val="31"/>
        </w:rPr>
        <w:t>予小微企业合同金额</w:t>
      </w:r>
      <w:r>
        <w:rPr>
          <w:rFonts w:ascii="仿宋" w:hAnsi="仿宋" w:eastAsia="仿宋" w:cs="仿宋"/>
          <w:color w:val="auto"/>
          <w:spacing w:val="-57"/>
          <w:sz w:val="31"/>
          <w:szCs w:val="31"/>
        </w:rPr>
        <w:t xml:space="preserve"> </w:t>
      </w:r>
      <w:r>
        <w:rPr>
          <w:rFonts w:ascii="仿宋" w:hAnsi="仿宋" w:eastAsia="仿宋" w:cs="仿宋"/>
          <w:color w:val="auto"/>
          <w:spacing w:val="9"/>
          <w:sz w:val="31"/>
          <w:szCs w:val="31"/>
        </w:rPr>
        <w:t>0</w:t>
      </w:r>
      <w:r>
        <w:rPr>
          <w:rFonts w:ascii="仿宋" w:hAnsi="仿宋" w:eastAsia="仿宋" w:cs="仿宋"/>
          <w:color w:val="auto"/>
          <w:spacing w:val="-50"/>
          <w:sz w:val="31"/>
          <w:szCs w:val="31"/>
        </w:rPr>
        <w:t xml:space="preserve"> </w:t>
      </w:r>
      <w:r>
        <w:rPr>
          <w:rFonts w:ascii="仿宋" w:hAnsi="仿宋" w:eastAsia="仿宋" w:cs="仿宋"/>
          <w:color w:val="auto"/>
          <w:spacing w:val="9"/>
          <w:sz w:val="31"/>
          <w:szCs w:val="31"/>
        </w:rPr>
        <w:t>万元，</w:t>
      </w:r>
      <w:r>
        <w:rPr>
          <w:rFonts w:ascii="仿宋" w:hAnsi="仿宋" w:eastAsia="仿宋" w:cs="仿宋"/>
          <w:color w:val="auto"/>
          <w:spacing w:val="-71"/>
          <w:sz w:val="31"/>
          <w:szCs w:val="31"/>
        </w:rPr>
        <w:t xml:space="preserve"> </w:t>
      </w:r>
      <w:r>
        <w:rPr>
          <w:rFonts w:ascii="仿宋" w:hAnsi="仿宋" w:eastAsia="仿宋" w:cs="仿宋"/>
          <w:color w:val="auto"/>
          <w:spacing w:val="9"/>
          <w:sz w:val="31"/>
          <w:szCs w:val="31"/>
        </w:rPr>
        <w:t>占授予中小企业合同金额的</w:t>
      </w:r>
      <w:r>
        <w:rPr>
          <w:rFonts w:ascii="仿宋" w:hAnsi="仿宋" w:eastAsia="仿宋" w:cs="仿宋"/>
          <w:color w:val="auto"/>
          <w:spacing w:val="8"/>
          <w:sz w:val="31"/>
          <w:szCs w:val="31"/>
        </w:rPr>
        <w:t>0%；货物采</w:t>
      </w:r>
      <w:r>
        <w:rPr>
          <w:rFonts w:ascii="仿宋" w:hAnsi="仿宋" w:eastAsia="仿宋" w:cs="仿宋"/>
          <w:color w:val="auto"/>
          <w:sz w:val="31"/>
          <w:szCs w:val="31"/>
        </w:rPr>
        <w:t xml:space="preserve"> </w:t>
      </w:r>
      <w:r>
        <w:rPr>
          <w:rFonts w:ascii="仿宋" w:hAnsi="仿宋" w:eastAsia="仿宋" w:cs="仿宋"/>
          <w:color w:val="auto"/>
          <w:spacing w:val="13"/>
          <w:sz w:val="31"/>
          <w:szCs w:val="31"/>
        </w:rPr>
        <w:t>购授予中小企业合同金额占货物支出金额的0%，工程采购授予中小企</w:t>
      </w:r>
      <w:r>
        <w:rPr>
          <w:rFonts w:ascii="仿宋" w:hAnsi="仿宋" w:eastAsia="仿宋" w:cs="仿宋"/>
          <w:color w:val="auto"/>
          <w:spacing w:val="2"/>
          <w:sz w:val="31"/>
          <w:szCs w:val="31"/>
        </w:rPr>
        <w:t xml:space="preserve"> </w:t>
      </w:r>
      <w:r>
        <w:rPr>
          <w:rFonts w:ascii="仿宋" w:hAnsi="仿宋" w:eastAsia="仿宋" w:cs="仿宋"/>
          <w:color w:val="auto"/>
          <w:spacing w:val="13"/>
          <w:sz w:val="31"/>
          <w:szCs w:val="31"/>
        </w:rPr>
        <w:t>业合同金额占工程支出金额的0%，服务采购授予中小企业合同金额占</w:t>
      </w:r>
      <w:r>
        <w:rPr>
          <w:rFonts w:ascii="仿宋" w:hAnsi="仿宋" w:eastAsia="仿宋" w:cs="仿宋"/>
          <w:color w:val="auto"/>
          <w:spacing w:val="5"/>
          <w:sz w:val="31"/>
          <w:szCs w:val="31"/>
        </w:rPr>
        <w:t xml:space="preserve"> </w:t>
      </w:r>
      <w:r>
        <w:rPr>
          <w:rFonts w:ascii="仿宋" w:hAnsi="仿宋" w:eastAsia="仿宋" w:cs="仿宋"/>
          <w:color w:val="auto"/>
          <w:spacing w:val="13"/>
          <w:sz w:val="31"/>
          <w:szCs w:val="31"/>
        </w:rPr>
        <w:t>服务支出金额的0%。</w:t>
      </w:r>
    </w:p>
    <w:p w14:paraId="3016DC1B">
      <w:pPr>
        <w:pStyle w:val="2"/>
        <w:spacing w:before="53" w:line="226" w:lineRule="auto"/>
        <w:ind w:left="636"/>
        <w:rPr>
          <w:color w:val="auto"/>
        </w:rPr>
      </w:pPr>
      <w:r>
        <w:rPr>
          <w:color w:val="auto"/>
          <w:spacing w:val="8"/>
        </w:rPr>
        <w:t>十二、国有资产占用情况说明</w:t>
      </w:r>
    </w:p>
    <w:p w14:paraId="74DAA8B4">
      <w:pPr>
        <w:spacing w:before="242" w:line="365" w:lineRule="auto"/>
        <w:ind w:right="2" w:firstLine="640"/>
        <w:rPr>
          <w:rFonts w:ascii="仿宋" w:hAnsi="仿宋" w:eastAsia="仿宋" w:cs="仿宋"/>
          <w:color w:val="auto"/>
          <w:sz w:val="31"/>
          <w:szCs w:val="31"/>
        </w:rPr>
      </w:pPr>
      <w:r>
        <w:rPr>
          <w:rFonts w:ascii="仿宋" w:hAnsi="仿宋" w:eastAsia="仿宋" w:cs="仿宋"/>
          <w:color w:val="auto"/>
          <w:spacing w:val="-4"/>
          <w:sz w:val="31"/>
          <w:szCs w:val="31"/>
        </w:rPr>
        <w:t>截至</w:t>
      </w:r>
      <w:r>
        <w:rPr>
          <w:rFonts w:ascii="仿宋" w:hAnsi="仿宋" w:eastAsia="仿宋" w:cs="仿宋"/>
          <w:color w:val="auto"/>
          <w:spacing w:val="-58"/>
          <w:sz w:val="31"/>
          <w:szCs w:val="31"/>
        </w:rPr>
        <w:t xml:space="preserve"> </w:t>
      </w:r>
      <w:r>
        <w:rPr>
          <w:rFonts w:ascii="仿宋" w:hAnsi="仿宋" w:eastAsia="仿宋" w:cs="仿宋"/>
          <w:color w:val="auto"/>
          <w:spacing w:val="-4"/>
          <w:sz w:val="31"/>
          <w:szCs w:val="31"/>
        </w:rPr>
        <w:t>202</w:t>
      </w:r>
      <w:r>
        <w:rPr>
          <w:rFonts w:hint="eastAsia" w:ascii="仿宋" w:hAnsi="仿宋" w:eastAsia="仿宋" w:cs="仿宋"/>
          <w:color w:val="auto"/>
          <w:spacing w:val="-4"/>
          <w:sz w:val="31"/>
          <w:szCs w:val="31"/>
          <w:lang w:val="en-US" w:eastAsia="zh-CN"/>
        </w:rPr>
        <w:t>3</w:t>
      </w:r>
      <w:r>
        <w:rPr>
          <w:rFonts w:ascii="仿宋" w:hAnsi="仿宋" w:eastAsia="仿宋" w:cs="仿宋"/>
          <w:color w:val="auto"/>
          <w:spacing w:val="-4"/>
          <w:sz w:val="31"/>
          <w:szCs w:val="31"/>
        </w:rPr>
        <w:t>年</w:t>
      </w:r>
      <w:r>
        <w:rPr>
          <w:rFonts w:ascii="仿宋" w:hAnsi="仿宋" w:eastAsia="仿宋" w:cs="仿宋"/>
          <w:color w:val="auto"/>
          <w:spacing w:val="40"/>
          <w:sz w:val="31"/>
          <w:szCs w:val="31"/>
        </w:rPr>
        <w:t xml:space="preserve"> </w:t>
      </w:r>
      <w:r>
        <w:rPr>
          <w:rFonts w:ascii="仿宋" w:hAnsi="仿宋" w:eastAsia="仿宋" w:cs="仿宋"/>
          <w:color w:val="auto"/>
          <w:spacing w:val="-4"/>
          <w:sz w:val="31"/>
          <w:szCs w:val="31"/>
        </w:rPr>
        <w:t>12</w:t>
      </w:r>
      <w:r>
        <w:rPr>
          <w:rFonts w:ascii="仿宋" w:hAnsi="仿宋" w:eastAsia="仿宋" w:cs="仿宋"/>
          <w:color w:val="auto"/>
          <w:spacing w:val="-41"/>
          <w:sz w:val="31"/>
          <w:szCs w:val="31"/>
        </w:rPr>
        <w:t xml:space="preserve"> </w:t>
      </w:r>
      <w:r>
        <w:rPr>
          <w:rFonts w:ascii="仿宋" w:hAnsi="仿宋" w:eastAsia="仿宋" w:cs="仿宋"/>
          <w:color w:val="auto"/>
          <w:spacing w:val="-4"/>
          <w:sz w:val="31"/>
          <w:szCs w:val="31"/>
        </w:rPr>
        <w:t>月</w:t>
      </w:r>
      <w:r>
        <w:rPr>
          <w:rFonts w:ascii="仿宋" w:hAnsi="仿宋" w:eastAsia="仿宋" w:cs="仿宋"/>
          <w:color w:val="auto"/>
          <w:spacing w:val="-55"/>
          <w:sz w:val="31"/>
          <w:szCs w:val="31"/>
        </w:rPr>
        <w:t xml:space="preserve"> </w:t>
      </w:r>
      <w:r>
        <w:rPr>
          <w:rFonts w:ascii="仿宋" w:hAnsi="仿宋" w:eastAsia="仿宋" w:cs="仿宋"/>
          <w:color w:val="auto"/>
          <w:spacing w:val="-4"/>
          <w:sz w:val="31"/>
          <w:szCs w:val="31"/>
        </w:rPr>
        <w:t>31 日，部门共有车辆</w:t>
      </w:r>
      <w:r>
        <w:rPr>
          <w:rFonts w:ascii="仿宋" w:hAnsi="仿宋" w:eastAsia="仿宋" w:cs="仿宋"/>
          <w:color w:val="auto"/>
          <w:spacing w:val="-41"/>
          <w:sz w:val="31"/>
          <w:szCs w:val="31"/>
        </w:rPr>
        <w:t xml:space="preserve"> </w:t>
      </w:r>
      <w:r>
        <w:rPr>
          <w:rFonts w:ascii="仿宋" w:hAnsi="仿宋" w:eastAsia="仿宋" w:cs="仿宋"/>
          <w:color w:val="auto"/>
          <w:spacing w:val="-4"/>
          <w:sz w:val="31"/>
          <w:szCs w:val="31"/>
        </w:rPr>
        <w:t>1</w:t>
      </w:r>
      <w:r>
        <w:rPr>
          <w:rFonts w:ascii="仿宋" w:hAnsi="仿宋" w:eastAsia="仿宋" w:cs="仿宋"/>
          <w:color w:val="auto"/>
          <w:spacing w:val="-54"/>
          <w:sz w:val="31"/>
          <w:szCs w:val="31"/>
        </w:rPr>
        <w:t xml:space="preserve"> </w:t>
      </w:r>
      <w:r>
        <w:rPr>
          <w:rFonts w:ascii="仿宋" w:hAnsi="仿宋" w:eastAsia="仿宋" w:cs="仿宋"/>
          <w:color w:val="auto"/>
          <w:spacing w:val="-4"/>
          <w:sz w:val="31"/>
          <w:szCs w:val="31"/>
        </w:rPr>
        <w:t>辆，其</w:t>
      </w:r>
      <w:r>
        <w:rPr>
          <w:rFonts w:ascii="仿宋" w:hAnsi="仿宋" w:eastAsia="仿宋" w:cs="仿宋"/>
          <w:color w:val="auto"/>
          <w:spacing w:val="-5"/>
          <w:sz w:val="31"/>
          <w:szCs w:val="31"/>
        </w:rPr>
        <w:t>中，副省级及以</w:t>
      </w:r>
      <w:r>
        <w:rPr>
          <w:rFonts w:ascii="仿宋" w:hAnsi="仿宋" w:eastAsia="仿宋" w:cs="仿宋"/>
          <w:color w:val="auto"/>
          <w:sz w:val="31"/>
          <w:szCs w:val="31"/>
        </w:rPr>
        <w:t xml:space="preserve"> </w:t>
      </w:r>
      <w:r>
        <w:rPr>
          <w:rFonts w:ascii="仿宋" w:hAnsi="仿宋" w:eastAsia="仿宋" w:cs="仿宋"/>
          <w:color w:val="auto"/>
          <w:spacing w:val="7"/>
          <w:sz w:val="31"/>
          <w:szCs w:val="31"/>
        </w:rPr>
        <w:t>上领导干部用车</w:t>
      </w:r>
      <w:r>
        <w:rPr>
          <w:rFonts w:ascii="仿宋" w:hAnsi="仿宋" w:eastAsia="仿宋" w:cs="仿宋"/>
          <w:color w:val="auto"/>
          <w:spacing w:val="-57"/>
          <w:sz w:val="31"/>
          <w:szCs w:val="31"/>
        </w:rPr>
        <w:t xml:space="preserve"> </w:t>
      </w:r>
      <w:r>
        <w:rPr>
          <w:rFonts w:ascii="仿宋" w:hAnsi="仿宋" w:eastAsia="仿宋" w:cs="仿宋"/>
          <w:color w:val="auto"/>
          <w:spacing w:val="7"/>
          <w:sz w:val="31"/>
          <w:szCs w:val="31"/>
        </w:rPr>
        <w:t>0</w:t>
      </w:r>
      <w:r>
        <w:rPr>
          <w:rFonts w:ascii="仿宋" w:hAnsi="仿宋" w:eastAsia="仿宋" w:cs="仿宋"/>
          <w:color w:val="auto"/>
          <w:spacing w:val="-52"/>
          <w:sz w:val="31"/>
          <w:szCs w:val="31"/>
        </w:rPr>
        <w:t xml:space="preserve"> </w:t>
      </w:r>
      <w:r>
        <w:rPr>
          <w:rFonts w:ascii="仿宋" w:hAnsi="仿宋" w:eastAsia="仿宋" w:cs="仿宋"/>
          <w:color w:val="auto"/>
          <w:spacing w:val="7"/>
          <w:sz w:val="31"/>
          <w:szCs w:val="31"/>
        </w:rPr>
        <w:t>辆、主要领导干部用车</w:t>
      </w:r>
      <w:r>
        <w:rPr>
          <w:rFonts w:ascii="仿宋" w:hAnsi="仿宋" w:eastAsia="仿宋" w:cs="仿宋"/>
          <w:color w:val="auto"/>
          <w:spacing w:val="-57"/>
          <w:sz w:val="31"/>
          <w:szCs w:val="31"/>
        </w:rPr>
        <w:t xml:space="preserve"> </w:t>
      </w:r>
      <w:r>
        <w:rPr>
          <w:rFonts w:ascii="仿宋" w:hAnsi="仿宋" w:eastAsia="仿宋" w:cs="仿宋"/>
          <w:color w:val="auto"/>
          <w:spacing w:val="7"/>
          <w:sz w:val="31"/>
          <w:szCs w:val="31"/>
        </w:rPr>
        <w:t>0</w:t>
      </w:r>
      <w:r>
        <w:rPr>
          <w:rFonts w:ascii="仿宋" w:hAnsi="仿宋" w:eastAsia="仿宋" w:cs="仿宋"/>
          <w:color w:val="auto"/>
          <w:spacing w:val="-52"/>
          <w:sz w:val="31"/>
          <w:szCs w:val="31"/>
        </w:rPr>
        <w:t xml:space="preserve"> </w:t>
      </w:r>
      <w:r>
        <w:rPr>
          <w:rFonts w:ascii="仿宋" w:hAnsi="仿宋" w:eastAsia="仿宋" w:cs="仿宋"/>
          <w:color w:val="auto"/>
          <w:spacing w:val="7"/>
          <w:sz w:val="31"/>
          <w:szCs w:val="31"/>
        </w:rPr>
        <w:t>辆、机要通信用车</w:t>
      </w:r>
      <w:r>
        <w:rPr>
          <w:rFonts w:ascii="仿宋" w:hAnsi="仿宋" w:eastAsia="仿宋" w:cs="仿宋"/>
          <w:color w:val="auto"/>
          <w:spacing w:val="-60"/>
          <w:sz w:val="31"/>
          <w:szCs w:val="31"/>
        </w:rPr>
        <w:t xml:space="preserve"> </w:t>
      </w:r>
      <w:r>
        <w:rPr>
          <w:rFonts w:ascii="仿宋" w:hAnsi="仿宋" w:eastAsia="仿宋" w:cs="仿宋"/>
          <w:color w:val="auto"/>
          <w:spacing w:val="7"/>
          <w:sz w:val="31"/>
          <w:szCs w:val="31"/>
        </w:rPr>
        <w:t>0 辆、</w:t>
      </w:r>
      <w:r>
        <w:rPr>
          <w:rFonts w:ascii="仿宋" w:hAnsi="仿宋" w:eastAsia="仿宋" w:cs="仿宋"/>
          <w:color w:val="auto"/>
          <w:sz w:val="31"/>
          <w:szCs w:val="31"/>
        </w:rPr>
        <w:t xml:space="preserve"> </w:t>
      </w:r>
      <w:r>
        <w:rPr>
          <w:rFonts w:ascii="仿宋" w:hAnsi="仿宋" w:eastAsia="仿宋" w:cs="仿宋"/>
          <w:color w:val="auto"/>
          <w:spacing w:val="6"/>
          <w:sz w:val="31"/>
          <w:szCs w:val="31"/>
        </w:rPr>
        <w:t>应急保障用车</w:t>
      </w:r>
      <w:r>
        <w:rPr>
          <w:rFonts w:ascii="仿宋" w:hAnsi="仿宋" w:eastAsia="仿宋" w:cs="仿宋"/>
          <w:color w:val="auto"/>
          <w:spacing w:val="-50"/>
          <w:sz w:val="31"/>
          <w:szCs w:val="31"/>
        </w:rPr>
        <w:t xml:space="preserve"> </w:t>
      </w:r>
      <w:r>
        <w:rPr>
          <w:rFonts w:ascii="仿宋" w:hAnsi="仿宋" w:eastAsia="仿宋" w:cs="仿宋"/>
          <w:color w:val="auto"/>
          <w:spacing w:val="6"/>
          <w:sz w:val="31"/>
          <w:szCs w:val="31"/>
        </w:rPr>
        <w:t>0</w:t>
      </w:r>
      <w:r>
        <w:rPr>
          <w:rFonts w:ascii="仿宋" w:hAnsi="仿宋" w:eastAsia="仿宋" w:cs="仿宋"/>
          <w:color w:val="auto"/>
          <w:spacing w:val="-52"/>
          <w:sz w:val="31"/>
          <w:szCs w:val="31"/>
        </w:rPr>
        <w:t xml:space="preserve"> </w:t>
      </w:r>
      <w:r>
        <w:rPr>
          <w:rFonts w:ascii="仿宋" w:hAnsi="仿宋" w:eastAsia="仿宋" w:cs="仿宋"/>
          <w:color w:val="auto"/>
          <w:spacing w:val="6"/>
          <w:sz w:val="31"/>
          <w:szCs w:val="31"/>
        </w:rPr>
        <w:t>辆、执法执勤用车</w:t>
      </w:r>
      <w:r>
        <w:rPr>
          <w:rFonts w:ascii="仿宋" w:hAnsi="仿宋" w:eastAsia="仿宋" w:cs="仿宋"/>
          <w:color w:val="auto"/>
          <w:spacing w:val="-38"/>
          <w:sz w:val="31"/>
          <w:szCs w:val="31"/>
        </w:rPr>
        <w:t xml:space="preserve"> </w:t>
      </w:r>
      <w:r>
        <w:rPr>
          <w:rFonts w:ascii="仿宋" w:hAnsi="仿宋" w:eastAsia="仿宋" w:cs="仿宋"/>
          <w:color w:val="auto"/>
          <w:spacing w:val="6"/>
          <w:sz w:val="31"/>
          <w:szCs w:val="31"/>
        </w:rPr>
        <w:t>1</w:t>
      </w:r>
      <w:r>
        <w:rPr>
          <w:rFonts w:ascii="仿宋" w:hAnsi="仿宋" w:eastAsia="仿宋" w:cs="仿宋"/>
          <w:color w:val="auto"/>
          <w:spacing w:val="-52"/>
          <w:sz w:val="31"/>
          <w:szCs w:val="31"/>
        </w:rPr>
        <w:t xml:space="preserve"> </w:t>
      </w:r>
      <w:r>
        <w:rPr>
          <w:rFonts w:ascii="仿宋" w:hAnsi="仿宋" w:eastAsia="仿宋" w:cs="仿宋"/>
          <w:color w:val="auto"/>
          <w:spacing w:val="6"/>
          <w:sz w:val="31"/>
          <w:szCs w:val="31"/>
        </w:rPr>
        <w:t>辆、特种专业技术用车 0</w:t>
      </w:r>
      <w:r>
        <w:rPr>
          <w:rFonts w:ascii="仿宋" w:hAnsi="仿宋" w:eastAsia="仿宋" w:cs="仿宋"/>
          <w:color w:val="auto"/>
          <w:spacing w:val="-55"/>
          <w:sz w:val="31"/>
          <w:szCs w:val="31"/>
        </w:rPr>
        <w:t xml:space="preserve"> </w:t>
      </w:r>
      <w:r>
        <w:rPr>
          <w:rFonts w:ascii="仿宋" w:hAnsi="仿宋" w:eastAsia="仿宋" w:cs="仿宋"/>
          <w:color w:val="auto"/>
          <w:spacing w:val="6"/>
          <w:sz w:val="31"/>
          <w:szCs w:val="31"/>
        </w:rPr>
        <w:t>辆、其</w:t>
      </w:r>
      <w:r>
        <w:rPr>
          <w:rFonts w:ascii="仿宋" w:hAnsi="仿宋" w:eastAsia="仿宋" w:cs="仿宋"/>
          <w:color w:val="auto"/>
          <w:sz w:val="31"/>
          <w:szCs w:val="31"/>
        </w:rPr>
        <w:t xml:space="preserve"> </w:t>
      </w:r>
      <w:r>
        <w:rPr>
          <w:rFonts w:ascii="仿宋" w:hAnsi="仿宋" w:eastAsia="仿宋" w:cs="仿宋"/>
          <w:color w:val="auto"/>
          <w:spacing w:val="6"/>
          <w:sz w:val="31"/>
          <w:szCs w:val="31"/>
        </w:rPr>
        <w:t>他用车</w:t>
      </w:r>
      <w:r>
        <w:rPr>
          <w:rFonts w:ascii="仿宋" w:hAnsi="仿宋" w:eastAsia="仿宋" w:cs="仿宋"/>
          <w:color w:val="auto"/>
          <w:spacing w:val="-50"/>
          <w:sz w:val="31"/>
          <w:szCs w:val="31"/>
        </w:rPr>
        <w:t xml:space="preserve"> </w:t>
      </w:r>
      <w:r>
        <w:rPr>
          <w:rFonts w:ascii="仿宋" w:hAnsi="仿宋" w:eastAsia="仿宋" w:cs="仿宋"/>
          <w:color w:val="auto"/>
          <w:spacing w:val="6"/>
          <w:sz w:val="31"/>
          <w:szCs w:val="31"/>
        </w:rPr>
        <w:t>0 辆，其他用车主要是无其他用车；单位价值 100</w:t>
      </w:r>
      <w:r>
        <w:rPr>
          <w:rFonts w:ascii="仿宋" w:hAnsi="仿宋" w:eastAsia="仿宋" w:cs="仿宋"/>
          <w:color w:val="auto"/>
          <w:spacing w:val="-54"/>
          <w:sz w:val="31"/>
          <w:szCs w:val="31"/>
        </w:rPr>
        <w:t xml:space="preserve"> </w:t>
      </w:r>
      <w:r>
        <w:rPr>
          <w:rFonts w:ascii="仿宋" w:hAnsi="仿宋" w:eastAsia="仿宋" w:cs="仿宋"/>
          <w:color w:val="auto"/>
          <w:spacing w:val="6"/>
          <w:sz w:val="31"/>
          <w:szCs w:val="31"/>
        </w:rPr>
        <w:t>万元以上设</w:t>
      </w:r>
      <w:r>
        <w:rPr>
          <w:rFonts w:ascii="仿宋" w:hAnsi="仿宋" w:eastAsia="仿宋" w:cs="仿宋"/>
          <w:color w:val="auto"/>
          <w:sz w:val="31"/>
          <w:szCs w:val="31"/>
        </w:rPr>
        <w:t xml:space="preserve"> 备（不含车辆）0 台（套）。</w:t>
      </w:r>
    </w:p>
    <w:p w14:paraId="5B821F4B">
      <w:pPr>
        <w:pStyle w:val="2"/>
        <w:keepNext w:val="0"/>
        <w:keepLines w:val="0"/>
        <w:pageBreakBefore w:val="0"/>
        <w:widowControl/>
        <w:kinsoku w:val="0"/>
        <w:wordWrap/>
        <w:overflowPunct/>
        <w:topLinePunct w:val="0"/>
        <w:autoSpaceDE w:val="0"/>
        <w:autoSpaceDN w:val="0"/>
        <w:bidi w:val="0"/>
        <w:adjustRightInd w:val="0"/>
        <w:snapToGrid w:val="0"/>
        <w:spacing w:before="58" w:line="360" w:lineRule="auto"/>
        <w:ind w:left="636"/>
        <w:textAlignment w:val="baseline"/>
        <w:rPr>
          <w:color w:val="auto"/>
        </w:rPr>
      </w:pPr>
      <w:r>
        <w:rPr>
          <w:color w:val="auto"/>
          <w:spacing w:val="8"/>
        </w:rPr>
        <w:t>十三、预算绩效情况说明</w:t>
      </w:r>
    </w:p>
    <w:p w14:paraId="158793F9">
      <w:pPr>
        <w:keepNext w:val="0"/>
        <w:keepLines w:val="0"/>
        <w:pageBreakBefore w:val="0"/>
        <w:widowControl/>
        <w:kinsoku w:val="0"/>
        <w:wordWrap/>
        <w:overflowPunct/>
        <w:topLinePunct w:val="0"/>
        <w:autoSpaceDE w:val="0"/>
        <w:autoSpaceDN w:val="0"/>
        <w:bidi w:val="0"/>
        <w:adjustRightInd w:val="0"/>
        <w:snapToGrid w:val="0"/>
        <w:spacing w:before="243" w:line="360" w:lineRule="auto"/>
        <w:ind w:left="688"/>
        <w:textAlignment w:val="baseline"/>
        <w:rPr>
          <w:rFonts w:ascii="仿宋" w:hAnsi="仿宋" w:eastAsia="仿宋" w:cs="仿宋"/>
          <w:color w:val="auto"/>
          <w:sz w:val="31"/>
          <w:szCs w:val="31"/>
        </w:rPr>
      </w:pPr>
      <w:r>
        <w:rPr>
          <w:rFonts w:ascii="仿宋" w:hAnsi="仿宋" w:eastAsia="仿宋" w:cs="仿宋"/>
          <w:color w:val="auto"/>
          <w:spacing w:val="4"/>
          <w:sz w:val="31"/>
          <w:szCs w:val="31"/>
        </w:rPr>
        <w:t>(一)预算绩效管理工作开展情况。</w:t>
      </w:r>
    </w:p>
    <w:p w14:paraId="071FB715">
      <w:pPr>
        <w:keepNext w:val="0"/>
        <w:keepLines w:val="0"/>
        <w:pageBreakBefore w:val="0"/>
        <w:widowControl/>
        <w:kinsoku w:val="0"/>
        <w:wordWrap/>
        <w:overflowPunct/>
        <w:topLinePunct w:val="0"/>
        <w:autoSpaceDE w:val="0"/>
        <w:autoSpaceDN w:val="0"/>
        <w:bidi w:val="0"/>
        <w:adjustRightInd w:val="0"/>
        <w:snapToGrid w:val="0"/>
        <w:spacing w:before="52" w:line="360" w:lineRule="auto"/>
        <w:ind w:left="6" w:leftChars="0" w:firstLine="637" w:firstLineChars="198"/>
        <w:textAlignment w:val="baseline"/>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rPr>
        <w:t>我单位严格按照2023年度项目绩效自评工作的要求，安排部署预算绩效评价工作，明确一名专人负责此项工作，组织、协调和督促落实此项工作，推进绩效管理工作健康有序开展，规范工作内容，确保绩效评价工作有章可循，有序开展。 自评工作围绕我局预算资金管理开展，严格把控预算资金收支，将预算收支全面纳入绩效管理，在单位内逐步树立预算绩效管理理念，不断提高财政资金使用效益。</w:t>
      </w:r>
    </w:p>
    <w:p w14:paraId="1D8D4CE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2" w:line="360" w:lineRule="auto"/>
        <w:ind w:left="0" w:leftChars="0" w:firstLine="644" w:firstLineChars="200"/>
        <w:textAlignment w:val="baseline"/>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rPr>
        <w:t>我单位2023年自评项目4个，项目预算总金额512.59元万元，评价工作以部门单位自评为主，由各项目负责人对部门单位绩效工作进行督察、复审。经过汇审后，将部门整体绩效评价报告上报区财政局。</w:t>
      </w:r>
    </w:p>
    <w:p w14:paraId="6F08BF0D">
      <w:pPr>
        <w:keepNext w:val="0"/>
        <w:keepLines w:val="0"/>
        <w:pageBreakBefore w:val="0"/>
        <w:wordWrap/>
        <w:overflowPunct/>
        <w:topLinePunct w:val="0"/>
        <w:bidi w:val="0"/>
        <w:spacing w:before="55" w:line="360" w:lineRule="auto"/>
        <w:ind w:left="646"/>
        <w:rPr>
          <w:rFonts w:ascii="仿宋" w:hAnsi="仿宋" w:eastAsia="仿宋" w:cs="仿宋"/>
          <w:color w:val="auto"/>
          <w:sz w:val="31"/>
          <w:szCs w:val="31"/>
        </w:rPr>
      </w:pPr>
      <w:r>
        <w:rPr>
          <w:rFonts w:ascii="仿宋" w:hAnsi="仿宋" w:eastAsia="仿宋" w:cs="仿宋"/>
          <w:color w:val="auto"/>
          <w:spacing w:val="7"/>
          <w:sz w:val="31"/>
          <w:szCs w:val="31"/>
        </w:rPr>
        <w:t>（</w:t>
      </w:r>
      <w:r>
        <w:rPr>
          <w:rFonts w:hint="eastAsia" w:ascii="仿宋" w:hAnsi="仿宋" w:eastAsia="仿宋" w:cs="仿宋"/>
          <w:color w:val="auto"/>
          <w:spacing w:val="7"/>
          <w:sz w:val="31"/>
          <w:szCs w:val="31"/>
          <w:lang w:val="en-US" w:eastAsia="zh-CN"/>
        </w:rPr>
        <w:t>二</w:t>
      </w:r>
      <w:r>
        <w:rPr>
          <w:rFonts w:ascii="仿宋" w:hAnsi="仿宋" w:eastAsia="仿宋" w:cs="仿宋"/>
          <w:color w:val="auto"/>
          <w:spacing w:val="7"/>
          <w:sz w:val="31"/>
          <w:szCs w:val="31"/>
        </w:rPr>
        <w:t>）绩效评价结果应用情况。</w:t>
      </w:r>
    </w:p>
    <w:p w14:paraId="57926302">
      <w:pPr>
        <w:keepNext w:val="0"/>
        <w:keepLines w:val="0"/>
        <w:pageBreakBefore w:val="0"/>
        <w:wordWrap/>
        <w:overflowPunct/>
        <w:topLinePunct w:val="0"/>
        <w:bidi w:val="0"/>
        <w:spacing w:before="176" w:line="360" w:lineRule="auto"/>
        <w:ind w:right="111" w:firstLine="643"/>
        <w:rPr>
          <w:rFonts w:ascii="仿宋" w:hAnsi="仿宋" w:eastAsia="仿宋" w:cs="仿宋"/>
          <w:color w:val="auto"/>
          <w:sz w:val="31"/>
          <w:szCs w:val="31"/>
        </w:rPr>
      </w:pPr>
      <w:r>
        <w:rPr>
          <w:rFonts w:ascii="仿宋" w:hAnsi="仿宋" w:eastAsia="仿宋" w:cs="仿宋"/>
          <w:color w:val="auto"/>
          <w:spacing w:val="14"/>
          <w:sz w:val="31"/>
          <w:szCs w:val="31"/>
        </w:rPr>
        <w:t>部门绩效评价结果应用情况。本部门按时按要求</w:t>
      </w:r>
      <w:r>
        <w:rPr>
          <w:rFonts w:ascii="仿宋" w:hAnsi="仿宋" w:eastAsia="仿宋" w:cs="仿宋"/>
          <w:color w:val="auto"/>
          <w:spacing w:val="13"/>
          <w:sz w:val="31"/>
          <w:szCs w:val="31"/>
        </w:rPr>
        <w:t>上报相关报表及</w:t>
      </w:r>
      <w:r>
        <w:rPr>
          <w:rFonts w:ascii="仿宋" w:hAnsi="仿宋" w:eastAsia="仿宋" w:cs="仿宋"/>
          <w:color w:val="auto"/>
          <w:sz w:val="31"/>
          <w:szCs w:val="31"/>
        </w:rPr>
        <w:t xml:space="preserve"> </w:t>
      </w:r>
      <w:r>
        <w:rPr>
          <w:rFonts w:ascii="仿宋" w:hAnsi="仿宋" w:eastAsia="仿宋" w:cs="仿宋"/>
          <w:color w:val="auto"/>
          <w:spacing w:val="13"/>
          <w:sz w:val="31"/>
          <w:szCs w:val="31"/>
        </w:rPr>
        <w:t>专项资金绩效实施情况说明，对项目实施情况进行全程跟踪检查，发</w:t>
      </w:r>
      <w:r>
        <w:rPr>
          <w:rFonts w:ascii="仿宋" w:hAnsi="仿宋" w:eastAsia="仿宋" w:cs="仿宋"/>
          <w:color w:val="auto"/>
          <w:spacing w:val="15"/>
          <w:sz w:val="31"/>
          <w:szCs w:val="31"/>
        </w:rPr>
        <w:t xml:space="preserve"> </w:t>
      </w:r>
      <w:r>
        <w:rPr>
          <w:rFonts w:ascii="仿宋" w:hAnsi="仿宋" w:eastAsia="仿宋" w:cs="仿宋"/>
          <w:color w:val="auto"/>
          <w:spacing w:val="13"/>
          <w:sz w:val="31"/>
          <w:szCs w:val="31"/>
        </w:rPr>
        <w:t>现问题及时督促整改，确保绩效目标全面完成。将动态跟踪和定期跟</w:t>
      </w:r>
      <w:r>
        <w:rPr>
          <w:rFonts w:ascii="仿宋" w:hAnsi="仿宋" w:eastAsia="仿宋" w:cs="仿宋"/>
          <w:color w:val="auto"/>
          <w:spacing w:val="15"/>
          <w:sz w:val="31"/>
          <w:szCs w:val="31"/>
        </w:rPr>
        <w:t xml:space="preserve"> </w:t>
      </w:r>
      <w:r>
        <w:rPr>
          <w:rFonts w:ascii="仿宋" w:hAnsi="仿宋" w:eastAsia="仿宋" w:cs="仿宋"/>
          <w:color w:val="auto"/>
          <w:spacing w:val="13"/>
          <w:sz w:val="31"/>
          <w:szCs w:val="31"/>
        </w:rPr>
        <w:t>踪相结合，把绩效跟踪与加强当年预算执行、预算实施调整、使用结</w:t>
      </w:r>
      <w:r>
        <w:rPr>
          <w:rFonts w:ascii="仿宋" w:hAnsi="仿宋" w:eastAsia="仿宋" w:cs="仿宋"/>
          <w:color w:val="auto"/>
          <w:spacing w:val="15"/>
          <w:sz w:val="31"/>
          <w:szCs w:val="31"/>
        </w:rPr>
        <w:t xml:space="preserve"> </w:t>
      </w:r>
      <w:r>
        <w:rPr>
          <w:rFonts w:ascii="仿宋" w:hAnsi="仿宋" w:eastAsia="仿宋" w:cs="仿宋"/>
          <w:color w:val="auto"/>
          <w:spacing w:val="13"/>
          <w:sz w:val="31"/>
          <w:szCs w:val="31"/>
        </w:rPr>
        <w:t>转资金、优化项目管理结合起来，提高项目绩效监督的及时性和效率</w:t>
      </w:r>
      <w:r>
        <w:rPr>
          <w:rFonts w:ascii="仿宋" w:hAnsi="仿宋" w:eastAsia="仿宋" w:cs="仿宋"/>
          <w:color w:val="auto"/>
          <w:spacing w:val="15"/>
          <w:sz w:val="31"/>
          <w:szCs w:val="31"/>
        </w:rPr>
        <w:t xml:space="preserve"> </w:t>
      </w:r>
      <w:r>
        <w:rPr>
          <w:rFonts w:ascii="仿宋" w:hAnsi="仿宋" w:eastAsia="仿宋" w:cs="仿宋"/>
          <w:color w:val="auto"/>
          <w:spacing w:val="-6"/>
          <w:sz w:val="31"/>
          <w:szCs w:val="31"/>
        </w:rPr>
        <w:t>性。</w:t>
      </w:r>
    </w:p>
    <w:p w14:paraId="626E30D2">
      <w:pPr>
        <w:spacing w:before="57" w:line="323" w:lineRule="auto"/>
        <w:ind w:right="111" w:firstLine="642"/>
        <w:jc w:val="both"/>
        <w:rPr>
          <w:rFonts w:ascii="仿宋" w:hAnsi="仿宋" w:eastAsia="仿宋" w:cs="仿宋"/>
          <w:color w:val="auto"/>
          <w:sz w:val="31"/>
          <w:szCs w:val="31"/>
        </w:rPr>
      </w:pPr>
      <w:r>
        <w:rPr>
          <w:rFonts w:ascii="仿宋" w:hAnsi="仿宋" w:eastAsia="仿宋" w:cs="仿宋"/>
          <w:color w:val="auto"/>
          <w:spacing w:val="14"/>
          <w:sz w:val="31"/>
          <w:szCs w:val="31"/>
        </w:rPr>
        <w:t>部门绩效评价结果拟应用情况。将绩效评价结果</w:t>
      </w:r>
      <w:r>
        <w:rPr>
          <w:rFonts w:ascii="仿宋" w:hAnsi="仿宋" w:eastAsia="仿宋" w:cs="仿宋"/>
          <w:color w:val="auto"/>
          <w:spacing w:val="13"/>
          <w:sz w:val="31"/>
          <w:szCs w:val="31"/>
        </w:rPr>
        <w:t>作为编制下一年</w:t>
      </w:r>
      <w:r>
        <w:rPr>
          <w:rFonts w:ascii="仿宋" w:hAnsi="仿宋" w:eastAsia="仿宋" w:cs="仿宋"/>
          <w:color w:val="auto"/>
          <w:sz w:val="31"/>
          <w:szCs w:val="31"/>
        </w:rPr>
        <w:t xml:space="preserve"> </w:t>
      </w:r>
      <w:r>
        <w:rPr>
          <w:rFonts w:ascii="仿宋" w:hAnsi="仿宋" w:eastAsia="仿宋" w:cs="仿宋"/>
          <w:color w:val="auto"/>
          <w:spacing w:val="13"/>
          <w:sz w:val="31"/>
          <w:szCs w:val="31"/>
        </w:rPr>
        <w:t>度部门预算的重要依据，加强内部控制管理，进一步提升绩效评价的</w:t>
      </w:r>
      <w:r>
        <w:rPr>
          <w:rFonts w:ascii="仿宋" w:hAnsi="仿宋" w:eastAsia="仿宋" w:cs="仿宋"/>
          <w:color w:val="auto"/>
          <w:spacing w:val="14"/>
          <w:sz w:val="31"/>
          <w:szCs w:val="31"/>
        </w:rPr>
        <w:t xml:space="preserve"> </w:t>
      </w:r>
      <w:r>
        <w:rPr>
          <w:rFonts w:ascii="仿宋" w:hAnsi="仿宋" w:eastAsia="仿宋" w:cs="仿宋"/>
          <w:color w:val="auto"/>
          <w:spacing w:val="-1"/>
          <w:sz w:val="31"/>
          <w:szCs w:val="31"/>
        </w:rPr>
        <w:t>效果。</w:t>
      </w:r>
    </w:p>
    <w:p w14:paraId="6374FDCC">
      <w:pPr>
        <w:spacing w:line="243" w:lineRule="auto"/>
        <w:rPr>
          <w:rFonts w:ascii="Arial"/>
          <w:color w:val="auto"/>
          <w:sz w:val="21"/>
        </w:rPr>
      </w:pPr>
    </w:p>
    <w:p w14:paraId="2BD47F41">
      <w:pPr>
        <w:pStyle w:val="2"/>
        <w:numPr>
          <w:ilvl w:val="0"/>
          <w:numId w:val="5"/>
        </w:numPr>
        <w:tabs>
          <w:tab w:val="left" w:pos="9660"/>
        </w:tabs>
        <w:spacing w:before="101" w:line="368" w:lineRule="auto"/>
        <w:ind w:left="642" w:right="50" w:rightChars="0" w:hanging="6"/>
        <w:rPr>
          <w:color w:val="auto"/>
        </w:rPr>
      </w:pPr>
      <w:r>
        <w:rPr>
          <w:color w:val="auto"/>
          <w:spacing w:val="9"/>
        </w:rPr>
        <w:t>专项支出、转移支付支出情况</w:t>
      </w:r>
      <w:r>
        <w:rPr>
          <w:rFonts w:hint="eastAsia"/>
          <w:color w:val="auto"/>
          <w:spacing w:val="9"/>
          <w:lang w:val="en-US" w:eastAsia="zh-CN"/>
        </w:rPr>
        <w:t>说</w:t>
      </w:r>
      <w:r>
        <w:rPr>
          <w:color w:val="auto"/>
          <w:spacing w:val="9"/>
        </w:rPr>
        <w:t>明</w:t>
      </w:r>
      <w:r>
        <w:rPr>
          <w:color w:val="auto"/>
        </w:rPr>
        <w:t xml:space="preserve"> </w:t>
      </w:r>
    </w:p>
    <w:p w14:paraId="536A4CFA">
      <w:pPr>
        <w:pStyle w:val="2"/>
        <w:numPr>
          <w:ilvl w:val="0"/>
          <w:numId w:val="0"/>
        </w:numPr>
        <w:tabs>
          <w:tab w:val="left" w:pos="9660"/>
        </w:tabs>
        <w:spacing w:before="101" w:line="368" w:lineRule="auto"/>
        <w:ind w:left="636" w:leftChars="0" w:right="50" w:rightChars="0"/>
        <w:rPr>
          <w:rFonts w:ascii="仿宋" w:hAnsi="仿宋" w:eastAsia="仿宋" w:cs="仿宋"/>
          <w:color w:val="auto"/>
        </w:rPr>
      </w:pPr>
      <w:r>
        <w:rPr>
          <w:rFonts w:ascii="仿宋" w:hAnsi="仿宋" w:eastAsia="仿宋" w:cs="仿宋"/>
          <w:color w:val="auto"/>
          <w:spacing w:val="7"/>
        </w:rPr>
        <w:t>本单位无专项支出、转移支付支出。</w:t>
      </w:r>
    </w:p>
    <w:p w14:paraId="40CAFE92">
      <w:pPr>
        <w:pStyle w:val="2"/>
        <w:spacing w:before="65" w:line="226" w:lineRule="auto"/>
        <w:ind w:left="632"/>
        <w:rPr>
          <w:color w:val="auto"/>
        </w:rPr>
      </w:pPr>
      <w:r>
        <w:rPr>
          <w:color w:val="auto"/>
          <w:spacing w:val="8"/>
        </w:rPr>
        <w:t>第四部分  其他需要说明的情况</w:t>
      </w:r>
    </w:p>
    <w:p w14:paraId="3F226F68">
      <w:pPr>
        <w:pStyle w:val="2"/>
        <w:spacing w:before="179" w:line="318" w:lineRule="auto"/>
        <w:ind w:left="632" w:right="5248" w:firstLine="9"/>
        <w:rPr>
          <w:color w:val="auto"/>
        </w:rPr>
      </w:pPr>
      <w:r>
        <w:rPr>
          <w:rFonts w:ascii="仿宋" w:hAnsi="仿宋" w:eastAsia="仿宋" w:cs="仿宋"/>
          <w:color w:val="auto"/>
          <w:spacing w:val="8"/>
        </w:rPr>
        <w:t>本单位无其他需要说明情况</w:t>
      </w:r>
      <w:r>
        <w:rPr>
          <w:rFonts w:ascii="仿宋" w:hAnsi="仿宋" w:eastAsia="仿宋" w:cs="仿宋"/>
          <w:color w:val="auto"/>
        </w:rPr>
        <w:t xml:space="preserve"> </w:t>
      </w:r>
      <w:r>
        <w:rPr>
          <w:color w:val="auto"/>
          <w:spacing w:val="7"/>
        </w:rPr>
        <w:t>第五部分  名词解释</w:t>
      </w:r>
    </w:p>
    <w:p w14:paraId="6C962D6A">
      <w:pPr>
        <w:spacing w:before="51" w:line="281" w:lineRule="auto"/>
        <w:ind w:right="2" w:firstLine="687"/>
        <w:rPr>
          <w:rFonts w:ascii="仿宋" w:hAnsi="仿宋" w:eastAsia="仿宋" w:cs="仿宋"/>
          <w:color w:val="auto"/>
          <w:sz w:val="31"/>
          <w:szCs w:val="31"/>
        </w:rPr>
      </w:pPr>
      <w:r>
        <w:rPr>
          <w:rFonts w:ascii="仿宋" w:hAnsi="仿宋" w:eastAsia="仿宋" w:cs="仿宋"/>
          <w:color w:val="auto"/>
          <w:spacing w:val="11"/>
          <w:sz w:val="31"/>
          <w:szCs w:val="31"/>
        </w:rPr>
        <w:t>(一)一般公共预算财政拨款收入：指省级财政一般公共预算当年</w:t>
      </w:r>
      <w:r>
        <w:rPr>
          <w:rFonts w:ascii="仿宋" w:hAnsi="仿宋" w:eastAsia="仿宋" w:cs="仿宋"/>
          <w:color w:val="auto"/>
          <w:spacing w:val="18"/>
          <w:sz w:val="31"/>
          <w:szCs w:val="31"/>
        </w:rPr>
        <w:t xml:space="preserve"> </w:t>
      </w:r>
      <w:r>
        <w:rPr>
          <w:rFonts w:ascii="仿宋" w:hAnsi="仿宋" w:eastAsia="仿宋" w:cs="仿宋"/>
          <w:color w:val="auto"/>
          <w:spacing w:val="4"/>
          <w:sz w:val="31"/>
          <w:szCs w:val="31"/>
        </w:rPr>
        <w:t>拨付的资金。</w:t>
      </w:r>
    </w:p>
    <w:p w14:paraId="5E6029B9">
      <w:pPr>
        <w:spacing w:before="50" w:line="299" w:lineRule="auto"/>
        <w:ind w:left="33" w:right="2" w:firstLine="653"/>
        <w:rPr>
          <w:rFonts w:ascii="仿宋" w:hAnsi="仿宋" w:eastAsia="仿宋" w:cs="仿宋"/>
          <w:color w:val="auto"/>
          <w:sz w:val="31"/>
          <w:szCs w:val="31"/>
        </w:rPr>
      </w:pPr>
      <w:r>
        <w:rPr>
          <w:rFonts w:ascii="仿宋" w:hAnsi="仿宋" w:eastAsia="仿宋" w:cs="仿宋"/>
          <w:color w:val="auto"/>
          <w:spacing w:val="11"/>
          <w:sz w:val="31"/>
          <w:szCs w:val="31"/>
        </w:rPr>
        <w:t>(二)政府性基金预算财政拨款收入：指省级财政政府性基金预算</w:t>
      </w:r>
      <w:r>
        <w:rPr>
          <w:rFonts w:ascii="仿宋" w:hAnsi="仿宋" w:eastAsia="仿宋" w:cs="仿宋"/>
          <w:color w:val="auto"/>
          <w:spacing w:val="18"/>
          <w:sz w:val="31"/>
          <w:szCs w:val="31"/>
        </w:rPr>
        <w:t xml:space="preserve"> </w:t>
      </w:r>
      <w:r>
        <w:rPr>
          <w:rFonts w:ascii="仿宋" w:hAnsi="仿宋" w:eastAsia="仿宋" w:cs="仿宋"/>
          <w:color w:val="auto"/>
          <w:spacing w:val="1"/>
          <w:sz w:val="31"/>
          <w:szCs w:val="31"/>
        </w:rPr>
        <w:t>当年拨付的资金。</w:t>
      </w:r>
    </w:p>
    <w:p w14:paraId="443CE761">
      <w:pPr>
        <w:spacing w:before="240" w:line="299" w:lineRule="auto"/>
        <w:ind w:left="2" w:right="2" w:firstLine="684"/>
        <w:rPr>
          <w:rFonts w:ascii="仿宋" w:hAnsi="仿宋" w:eastAsia="仿宋" w:cs="仿宋"/>
          <w:color w:val="auto"/>
          <w:sz w:val="31"/>
          <w:szCs w:val="31"/>
        </w:rPr>
      </w:pPr>
      <w:r>
        <w:rPr>
          <w:rFonts w:ascii="仿宋" w:hAnsi="仿宋" w:eastAsia="仿宋" w:cs="仿宋"/>
          <w:color w:val="auto"/>
          <w:spacing w:val="11"/>
          <w:sz w:val="31"/>
          <w:szCs w:val="31"/>
        </w:rPr>
        <w:t>(三)国有资本经营预算财政拨款收入：指省级财政国有资本经营</w:t>
      </w:r>
      <w:r>
        <w:rPr>
          <w:rFonts w:ascii="仿宋" w:hAnsi="仿宋" w:eastAsia="仿宋" w:cs="仿宋"/>
          <w:color w:val="auto"/>
          <w:spacing w:val="18"/>
          <w:sz w:val="31"/>
          <w:szCs w:val="31"/>
        </w:rPr>
        <w:t xml:space="preserve"> </w:t>
      </w:r>
      <w:r>
        <w:rPr>
          <w:rFonts w:ascii="仿宋" w:hAnsi="仿宋" w:eastAsia="仿宋" w:cs="仿宋"/>
          <w:color w:val="auto"/>
          <w:spacing w:val="6"/>
          <w:sz w:val="31"/>
          <w:szCs w:val="31"/>
        </w:rPr>
        <w:t>预算当年拨付的资金。</w:t>
      </w:r>
    </w:p>
    <w:p w14:paraId="717696D5">
      <w:pPr>
        <w:spacing w:before="241" w:line="299" w:lineRule="auto"/>
        <w:ind w:left="3" w:right="2" w:firstLine="683"/>
        <w:rPr>
          <w:rFonts w:ascii="仿宋" w:hAnsi="仿宋" w:eastAsia="仿宋" w:cs="仿宋"/>
          <w:color w:val="auto"/>
          <w:sz w:val="31"/>
          <w:szCs w:val="31"/>
        </w:rPr>
      </w:pPr>
      <w:r>
        <w:rPr>
          <w:rFonts w:ascii="仿宋" w:hAnsi="仿宋" w:eastAsia="仿宋" w:cs="仿宋"/>
          <w:color w:val="auto"/>
          <w:spacing w:val="11"/>
          <w:sz w:val="31"/>
          <w:szCs w:val="31"/>
        </w:rPr>
        <w:t>(四)上级补助收入：指从事业单位主管部门和上级单位取得的非</w:t>
      </w:r>
      <w:r>
        <w:rPr>
          <w:rFonts w:ascii="仿宋" w:hAnsi="仿宋" w:eastAsia="仿宋" w:cs="仿宋"/>
          <w:color w:val="auto"/>
          <w:spacing w:val="18"/>
          <w:sz w:val="31"/>
          <w:szCs w:val="31"/>
        </w:rPr>
        <w:t xml:space="preserve"> </w:t>
      </w:r>
      <w:r>
        <w:rPr>
          <w:rFonts w:ascii="仿宋" w:hAnsi="仿宋" w:eastAsia="仿宋" w:cs="仿宋"/>
          <w:color w:val="auto"/>
          <w:spacing w:val="4"/>
          <w:sz w:val="31"/>
          <w:szCs w:val="31"/>
        </w:rPr>
        <w:t>财政补助收入。</w:t>
      </w:r>
    </w:p>
    <w:p w14:paraId="0BD6F121">
      <w:pPr>
        <w:spacing w:before="242" w:line="299" w:lineRule="auto"/>
        <w:ind w:left="18" w:right="2" w:firstLine="668"/>
        <w:rPr>
          <w:rFonts w:ascii="仿宋" w:hAnsi="仿宋" w:eastAsia="仿宋" w:cs="仿宋"/>
          <w:color w:val="auto"/>
          <w:sz w:val="31"/>
          <w:szCs w:val="31"/>
        </w:rPr>
      </w:pPr>
      <w:r>
        <w:rPr>
          <w:rFonts w:ascii="仿宋" w:hAnsi="仿宋" w:eastAsia="仿宋" w:cs="仿宋"/>
          <w:color w:val="auto"/>
          <w:spacing w:val="11"/>
          <w:sz w:val="31"/>
          <w:szCs w:val="31"/>
        </w:rPr>
        <w:t>(五)事业收入：指事业单位开展专业业务活动及其辅助活动取得</w:t>
      </w:r>
      <w:r>
        <w:rPr>
          <w:rFonts w:ascii="仿宋" w:hAnsi="仿宋" w:eastAsia="仿宋" w:cs="仿宋"/>
          <w:color w:val="auto"/>
          <w:spacing w:val="18"/>
          <w:sz w:val="31"/>
          <w:szCs w:val="31"/>
        </w:rPr>
        <w:t xml:space="preserve"> </w:t>
      </w:r>
      <w:r>
        <w:rPr>
          <w:rFonts w:ascii="仿宋" w:hAnsi="仿宋" w:eastAsia="仿宋" w:cs="仿宋"/>
          <w:color w:val="auto"/>
          <w:spacing w:val="-3"/>
          <w:sz w:val="31"/>
          <w:szCs w:val="31"/>
        </w:rPr>
        <w:t>的收入。</w:t>
      </w:r>
    </w:p>
    <w:p w14:paraId="6492C8D1">
      <w:pPr>
        <w:spacing w:before="239" w:line="299" w:lineRule="auto"/>
        <w:ind w:left="1" w:right="2" w:firstLine="685"/>
        <w:rPr>
          <w:rFonts w:ascii="仿宋" w:hAnsi="仿宋" w:eastAsia="仿宋" w:cs="仿宋"/>
          <w:color w:val="auto"/>
          <w:sz w:val="31"/>
          <w:szCs w:val="31"/>
        </w:rPr>
      </w:pPr>
      <w:r>
        <w:rPr>
          <w:rFonts w:ascii="仿宋" w:hAnsi="仿宋" w:eastAsia="仿宋" w:cs="仿宋"/>
          <w:color w:val="auto"/>
          <w:spacing w:val="11"/>
          <w:sz w:val="31"/>
          <w:szCs w:val="31"/>
        </w:rPr>
        <w:t>(六)经营收入：指事业单位在专业业务活动及其辅助活动之外开</w:t>
      </w:r>
      <w:r>
        <w:rPr>
          <w:rFonts w:ascii="仿宋" w:hAnsi="仿宋" w:eastAsia="仿宋" w:cs="仿宋"/>
          <w:color w:val="auto"/>
          <w:spacing w:val="18"/>
          <w:sz w:val="31"/>
          <w:szCs w:val="31"/>
        </w:rPr>
        <w:t xml:space="preserve"> </w:t>
      </w:r>
      <w:r>
        <w:rPr>
          <w:rFonts w:ascii="仿宋" w:hAnsi="仿宋" w:eastAsia="仿宋" w:cs="仿宋"/>
          <w:color w:val="auto"/>
          <w:spacing w:val="7"/>
          <w:sz w:val="31"/>
          <w:szCs w:val="31"/>
        </w:rPr>
        <w:t>展非独立核算经营活动取得的收入。</w:t>
      </w:r>
    </w:p>
    <w:p w14:paraId="694E455E">
      <w:pPr>
        <w:spacing w:before="243" w:line="335" w:lineRule="auto"/>
        <w:ind w:firstLine="687"/>
        <w:rPr>
          <w:rFonts w:ascii="仿宋" w:hAnsi="仿宋" w:eastAsia="仿宋" w:cs="仿宋"/>
          <w:color w:val="auto"/>
          <w:sz w:val="31"/>
          <w:szCs w:val="31"/>
        </w:rPr>
      </w:pPr>
      <w:r>
        <w:rPr>
          <w:rFonts w:ascii="仿宋" w:hAnsi="仿宋" w:eastAsia="仿宋" w:cs="仿宋"/>
          <w:color w:val="auto"/>
          <w:spacing w:val="12"/>
          <w:sz w:val="31"/>
          <w:szCs w:val="31"/>
        </w:rPr>
        <w:t>(七)其他收入：指单位取得的除上述“一般公</w:t>
      </w:r>
      <w:r>
        <w:rPr>
          <w:rFonts w:ascii="仿宋" w:hAnsi="仿宋" w:eastAsia="仿宋" w:cs="仿宋"/>
          <w:color w:val="auto"/>
          <w:spacing w:val="11"/>
          <w:sz w:val="31"/>
          <w:szCs w:val="31"/>
        </w:rPr>
        <w:t>共预算财政拨款收</w:t>
      </w:r>
      <w:r>
        <w:rPr>
          <w:rFonts w:ascii="仿宋" w:hAnsi="仿宋" w:eastAsia="仿宋" w:cs="仿宋"/>
          <w:color w:val="auto"/>
          <w:sz w:val="31"/>
          <w:szCs w:val="31"/>
        </w:rPr>
        <w:t xml:space="preserve"> </w:t>
      </w:r>
      <w:r>
        <w:rPr>
          <w:rFonts w:ascii="仿宋" w:hAnsi="仿宋" w:eastAsia="仿宋" w:cs="仿宋"/>
          <w:color w:val="auto"/>
          <w:spacing w:val="8"/>
          <w:sz w:val="31"/>
          <w:szCs w:val="31"/>
        </w:rPr>
        <w:t>入</w:t>
      </w:r>
      <w:r>
        <w:rPr>
          <w:rFonts w:ascii="仿宋" w:hAnsi="仿宋" w:eastAsia="仿宋" w:cs="仿宋"/>
          <w:color w:val="auto"/>
          <w:spacing w:val="-98"/>
          <w:sz w:val="31"/>
          <w:szCs w:val="31"/>
        </w:rPr>
        <w:t xml:space="preserve"> </w:t>
      </w:r>
      <w:r>
        <w:rPr>
          <w:rFonts w:ascii="仿宋" w:hAnsi="仿宋" w:eastAsia="仿宋" w:cs="仿宋"/>
          <w:color w:val="auto"/>
          <w:spacing w:val="8"/>
          <w:sz w:val="31"/>
          <w:szCs w:val="31"/>
        </w:rPr>
        <w:t>”、“政府性基金预算财政拨款收入</w:t>
      </w:r>
      <w:r>
        <w:rPr>
          <w:rFonts w:ascii="仿宋" w:hAnsi="仿宋" w:eastAsia="仿宋" w:cs="仿宋"/>
          <w:color w:val="auto"/>
          <w:spacing w:val="-108"/>
          <w:sz w:val="31"/>
          <w:szCs w:val="31"/>
        </w:rPr>
        <w:t xml:space="preserve"> </w:t>
      </w:r>
      <w:r>
        <w:rPr>
          <w:rFonts w:ascii="仿宋" w:hAnsi="仿宋" w:eastAsia="仿宋" w:cs="仿宋"/>
          <w:color w:val="auto"/>
          <w:spacing w:val="8"/>
          <w:sz w:val="31"/>
          <w:szCs w:val="31"/>
        </w:rPr>
        <w:t>”、“</w:t>
      </w:r>
      <w:r>
        <w:rPr>
          <w:rFonts w:ascii="仿宋" w:hAnsi="仿宋" w:eastAsia="仿宋" w:cs="仿宋"/>
          <w:color w:val="auto"/>
          <w:spacing w:val="-92"/>
          <w:sz w:val="31"/>
          <w:szCs w:val="31"/>
        </w:rPr>
        <w:t xml:space="preserve"> </w:t>
      </w:r>
      <w:r>
        <w:rPr>
          <w:rFonts w:ascii="仿宋" w:hAnsi="仿宋" w:eastAsia="仿宋" w:cs="仿宋"/>
          <w:color w:val="auto"/>
          <w:spacing w:val="8"/>
          <w:sz w:val="31"/>
          <w:szCs w:val="31"/>
        </w:rPr>
        <w:t>国有资本经营预算财政</w:t>
      </w:r>
      <w:r>
        <w:rPr>
          <w:rFonts w:ascii="仿宋" w:hAnsi="仿宋" w:eastAsia="仿宋" w:cs="仿宋"/>
          <w:color w:val="auto"/>
          <w:sz w:val="31"/>
          <w:szCs w:val="31"/>
        </w:rPr>
        <w:t xml:space="preserve"> </w:t>
      </w:r>
      <w:r>
        <w:rPr>
          <w:rFonts w:ascii="仿宋" w:hAnsi="仿宋" w:eastAsia="仿宋" w:cs="仿宋"/>
          <w:color w:val="auto"/>
          <w:spacing w:val="7"/>
          <w:sz w:val="31"/>
          <w:szCs w:val="31"/>
        </w:rPr>
        <w:t>拨款收入</w:t>
      </w:r>
      <w:r>
        <w:rPr>
          <w:rFonts w:ascii="仿宋" w:hAnsi="仿宋" w:eastAsia="仿宋" w:cs="仿宋"/>
          <w:color w:val="auto"/>
          <w:spacing w:val="-101"/>
          <w:sz w:val="31"/>
          <w:szCs w:val="31"/>
        </w:rPr>
        <w:t xml:space="preserve"> </w:t>
      </w:r>
      <w:r>
        <w:rPr>
          <w:rFonts w:ascii="仿宋" w:hAnsi="仿宋" w:eastAsia="仿宋" w:cs="仿宋"/>
          <w:color w:val="auto"/>
          <w:spacing w:val="7"/>
          <w:sz w:val="31"/>
          <w:szCs w:val="31"/>
        </w:rPr>
        <w:t>”、“上级补助收入</w:t>
      </w:r>
      <w:r>
        <w:rPr>
          <w:rFonts w:ascii="仿宋" w:hAnsi="仿宋" w:eastAsia="仿宋" w:cs="仿宋"/>
          <w:color w:val="auto"/>
          <w:spacing w:val="-107"/>
          <w:sz w:val="31"/>
          <w:szCs w:val="31"/>
        </w:rPr>
        <w:t xml:space="preserve"> </w:t>
      </w:r>
      <w:r>
        <w:rPr>
          <w:rFonts w:ascii="仿宋" w:hAnsi="仿宋" w:eastAsia="仿宋" w:cs="仿宋"/>
          <w:color w:val="auto"/>
          <w:spacing w:val="7"/>
          <w:sz w:val="31"/>
          <w:szCs w:val="31"/>
        </w:rPr>
        <w:t>”、“事业收入</w:t>
      </w:r>
      <w:r>
        <w:rPr>
          <w:rFonts w:ascii="仿宋" w:hAnsi="仿宋" w:eastAsia="仿宋" w:cs="仿宋"/>
          <w:color w:val="auto"/>
          <w:spacing w:val="-110"/>
          <w:sz w:val="31"/>
          <w:szCs w:val="31"/>
        </w:rPr>
        <w:t xml:space="preserve"> </w:t>
      </w:r>
      <w:r>
        <w:rPr>
          <w:rFonts w:ascii="仿宋" w:hAnsi="仿宋" w:eastAsia="仿宋" w:cs="仿宋"/>
          <w:color w:val="auto"/>
          <w:spacing w:val="7"/>
          <w:sz w:val="31"/>
          <w:szCs w:val="31"/>
        </w:rPr>
        <w:t>”、“经营收入</w:t>
      </w:r>
      <w:r>
        <w:rPr>
          <w:rFonts w:ascii="仿宋" w:hAnsi="仿宋" w:eastAsia="仿宋" w:cs="仿宋"/>
          <w:color w:val="auto"/>
          <w:spacing w:val="-108"/>
          <w:sz w:val="31"/>
          <w:szCs w:val="31"/>
        </w:rPr>
        <w:t xml:space="preserve"> </w:t>
      </w:r>
      <w:r>
        <w:rPr>
          <w:rFonts w:ascii="仿宋" w:hAnsi="仿宋" w:eastAsia="仿宋" w:cs="仿宋"/>
          <w:color w:val="auto"/>
          <w:spacing w:val="7"/>
          <w:sz w:val="31"/>
          <w:szCs w:val="31"/>
        </w:rPr>
        <w:t>”等收</w:t>
      </w:r>
      <w:r>
        <w:rPr>
          <w:rFonts w:ascii="仿宋" w:hAnsi="仿宋" w:eastAsia="仿宋" w:cs="仿宋"/>
          <w:color w:val="auto"/>
          <w:sz w:val="31"/>
          <w:szCs w:val="31"/>
        </w:rPr>
        <w:t xml:space="preserve"> </w:t>
      </w:r>
      <w:r>
        <w:rPr>
          <w:rFonts w:ascii="仿宋" w:hAnsi="仿宋" w:eastAsia="仿宋" w:cs="仿宋"/>
          <w:color w:val="auto"/>
          <w:spacing w:val="6"/>
          <w:sz w:val="31"/>
          <w:szCs w:val="31"/>
        </w:rPr>
        <w:t>入以外的各项收入。</w:t>
      </w:r>
    </w:p>
    <w:p w14:paraId="649F6D76">
      <w:pPr>
        <w:spacing w:before="237" w:line="299" w:lineRule="auto"/>
        <w:ind w:left="1" w:firstLine="685"/>
        <w:rPr>
          <w:rFonts w:ascii="仿宋" w:hAnsi="仿宋" w:eastAsia="仿宋" w:cs="仿宋"/>
          <w:color w:val="auto"/>
          <w:sz w:val="31"/>
          <w:szCs w:val="31"/>
        </w:rPr>
      </w:pPr>
      <w:r>
        <w:rPr>
          <w:rFonts w:ascii="仿宋" w:hAnsi="仿宋" w:eastAsia="仿宋" w:cs="仿宋"/>
          <w:color w:val="auto"/>
          <w:spacing w:val="12"/>
          <w:sz w:val="31"/>
          <w:szCs w:val="31"/>
        </w:rPr>
        <w:t>(八)使用非财政拨款结余：指事业单位使用以</w:t>
      </w:r>
      <w:r>
        <w:rPr>
          <w:rFonts w:ascii="仿宋" w:hAnsi="仿宋" w:eastAsia="仿宋" w:cs="仿宋"/>
          <w:color w:val="auto"/>
          <w:spacing w:val="11"/>
          <w:sz w:val="31"/>
          <w:szCs w:val="31"/>
        </w:rPr>
        <w:t>前年度积累的非财</w:t>
      </w:r>
      <w:r>
        <w:rPr>
          <w:rFonts w:ascii="仿宋" w:hAnsi="仿宋" w:eastAsia="仿宋" w:cs="仿宋"/>
          <w:color w:val="auto"/>
          <w:sz w:val="31"/>
          <w:szCs w:val="31"/>
        </w:rPr>
        <w:t xml:space="preserve"> </w:t>
      </w:r>
      <w:r>
        <w:rPr>
          <w:rFonts w:ascii="仿宋" w:hAnsi="仿宋" w:eastAsia="仿宋" w:cs="仿宋"/>
          <w:color w:val="auto"/>
          <w:spacing w:val="8"/>
          <w:sz w:val="31"/>
          <w:szCs w:val="31"/>
        </w:rPr>
        <w:t>政拨款结余弥补当年收支差额的金额。</w:t>
      </w:r>
    </w:p>
    <w:p w14:paraId="25FE5959">
      <w:pPr>
        <w:spacing w:before="241" w:line="355" w:lineRule="auto"/>
        <w:ind w:firstLine="687"/>
        <w:rPr>
          <w:rFonts w:ascii="仿宋" w:hAnsi="仿宋" w:eastAsia="仿宋" w:cs="仿宋"/>
          <w:color w:val="auto"/>
          <w:sz w:val="31"/>
          <w:szCs w:val="31"/>
        </w:rPr>
      </w:pPr>
      <w:r>
        <w:rPr>
          <w:rFonts w:ascii="仿宋" w:hAnsi="仿宋" w:eastAsia="仿宋" w:cs="仿宋"/>
          <w:color w:val="auto"/>
          <w:spacing w:val="12"/>
          <w:sz w:val="31"/>
          <w:szCs w:val="31"/>
        </w:rPr>
        <w:t>(九)年初结转和结余：指单位以前年度尚未完</w:t>
      </w:r>
      <w:r>
        <w:rPr>
          <w:rFonts w:ascii="仿宋" w:hAnsi="仿宋" w:eastAsia="仿宋" w:cs="仿宋"/>
          <w:color w:val="auto"/>
          <w:spacing w:val="11"/>
          <w:sz w:val="31"/>
          <w:szCs w:val="31"/>
        </w:rPr>
        <w:t>成、结转到本年仍</w:t>
      </w:r>
      <w:r>
        <w:rPr>
          <w:rFonts w:ascii="仿宋" w:hAnsi="仿宋" w:eastAsia="仿宋" w:cs="仿宋"/>
          <w:color w:val="auto"/>
          <w:sz w:val="31"/>
          <w:szCs w:val="31"/>
        </w:rPr>
        <w:t xml:space="preserve"> </w:t>
      </w:r>
      <w:r>
        <w:rPr>
          <w:rFonts w:ascii="仿宋" w:hAnsi="仿宋" w:eastAsia="仿宋" w:cs="仿宋"/>
          <w:color w:val="auto"/>
          <w:spacing w:val="9"/>
          <w:sz w:val="31"/>
          <w:szCs w:val="31"/>
        </w:rPr>
        <w:t>按原规定用途继续使用的资金，或项目已完成等产生的</w:t>
      </w:r>
      <w:r>
        <w:rPr>
          <w:rFonts w:ascii="仿宋" w:hAnsi="仿宋" w:eastAsia="仿宋" w:cs="仿宋"/>
          <w:color w:val="auto"/>
          <w:spacing w:val="8"/>
          <w:sz w:val="31"/>
          <w:szCs w:val="31"/>
        </w:rPr>
        <w:t>结余资金。</w:t>
      </w:r>
    </w:p>
    <w:p w14:paraId="2A4FC4D1">
      <w:pPr>
        <w:spacing w:before="55" w:line="227" w:lineRule="auto"/>
        <w:ind w:left="687"/>
        <w:rPr>
          <w:rFonts w:ascii="仿宋" w:hAnsi="仿宋" w:eastAsia="仿宋" w:cs="仿宋"/>
          <w:color w:val="auto"/>
          <w:sz w:val="31"/>
          <w:szCs w:val="31"/>
        </w:rPr>
      </w:pPr>
      <w:r>
        <w:rPr>
          <w:rFonts w:ascii="仿宋" w:hAnsi="仿宋" w:eastAsia="仿宋" w:cs="仿宋"/>
          <w:color w:val="auto"/>
          <w:spacing w:val="6"/>
          <w:sz w:val="31"/>
          <w:szCs w:val="31"/>
        </w:rPr>
        <w:t>(十)本部门使用的支出功能分类科目(到项级)</w:t>
      </w:r>
    </w:p>
    <w:p w14:paraId="72DA734B">
      <w:pPr>
        <w:spacing w:before="47" w:line="354" w:lineRule="auto"/>
        <w:ind w:right="2" w:firstLine="634"/>
        <w:rPr>
          <w:rFonts w:ascii="仿宋" w:hAnsi="仿宋" w:eastAsia="仿宋" w:cs="仿宋"/>
          <w:color w:val="auto"/>
          <w:spacing w:val="12"/>
          <w:sz w:val="31"/>
          <w:szCs w:val="31"/>
        </w:rPr>
      </w:pPr>
      <w:r>
        <w:rPr>
          <w:rFonts w:ascii="仿宋" w:hAnsi="仿宋" w:eastAsia="仿宋" w:cs="仿宋"/>
          <w:color w:val="auto"/>
          <w:spacing w:val="12"/>
          <w:sz w:val="31"/>
          <w:szCs w:val="31"/>
        </w:rPr>
        <w:t>1.农林水支出(类)林业和草原(款)森林资源培育(项)：反映育苗（种)、造林、抚育、退化林修复、义务植树以及生物质能源建设等方 面的支出。</w:t>
      </w:r>
    </w:p>
    <w:p w14:paraId="4AEEE88D">
      <w:pPr>
        <w:spacing w:before="47" w:line="354" w:lineRule="auto"/>
        <w:ind w:right="2" w:firstLine="634"/>
        <w:rPr>
          <w:rFonts w:ascii="仿宋" w:hAnsi="仿宋" w:eastAsia="仿宋" w:cs="仿宋"/>
          <w:color w:val="auto"/>
          <w:sz w:val="31"/>
          <w:szCs w:val="31"/>
        </w:rPr>
      </w:pPr>
      <w:r>
        <w:rPr>
          <w:rFonts w:ascii="仿宋" w:hAnsi="仿宋" w:eastAsia="仿宋" w:cs="仿宋"/>
          <w:color w:val="auto"/>
          <w:spacing w:val="12"/>
          <w:sz w:val="31"/>
          <w:szCs w:val="31"/>
        </w:rPr>
        <w:t>2.农林水支出(类)林业和草原(款)森林生态效益补偿(项)：反映</w:t>
      </w:r>
      <w:r>
        <w:rPr>
          <w:rFonts w:ascii="仿宋" w:hAnsi="仿宋" w:eastAsia="仿宋" w:cs="仿宋"/>
          <w:color w:val="auto"/>
          <w:spacing w:val="6"/>
          <w:sz w:val="31"/>
          <w:szCs w:val="31"/>
        </w:rPr>
        <w:t xml:space="preserve"> </w:t>
      </w:r>
      <w:r>
        <w:rPr>
          <w:rFonts w:ascii="仿宋" w:hAnsi="仿宋" w:eastAsia="仿宋" w:cs="仿宋"/>
          <w:color w:val="auto"/>
          <w:spacing w:val="8"/>
          <w:sz w:val="31"/>
          <w:szCs w:val="31"/>
        </w:rPr>
        <w:t>用于公益林保护和管理等方面的支出。</w:t>
      </w:r>
    </w:p>
    <w:p w14:paraId="5B94D719">
      <w:pPr>
        <w:spacing w:before="56" w:line="354" w:lineRule="auto"/>
        <w:ind w:left="46" w:firstLine="591"/>
        <w:rPr>
          <w:rFonts w:ascii="仿宋" w:hAnsi="仿宋" w:eastAsia="仿宋" w:cs="仿宋"/>
          <w:color w:val="auto"/>
          <w:sz w:val="31"/>
          <w:szCs w:val="31"/>
        </w:rPr>
      </w:pPr>
      <w:r>
        <w:rPr>
          <w:rFonts w:ascii="仿宋" w:hAnsi="仿宋" w:eastAsia="仿宋" w:cs="仿宋"/>
          <w:color w:val="auto"/>
          <w:spacing w:val="24"/>
          <w:sz w:val="31"/>
          <w:szCs w:val="31"/>
        </w:rPr>
        <w:t>3.</w:t>
      </w:r>
      <w:r>
        <w:rPr>
          <w:rFonts w:ascii="仿宋" w:hAnsi="仿宋" w:eastAsia="仿宋" w:cs="仿宋"/>
          <w:color w:val="auto"/>
          <w:spacing w:val="-46"/>
          <w:sz w:val="31"/>
          <w:szCs w:val="31"/>
        </w:rPr>
        <w:t xml:space="preserve"> </w:t>
      </w:r>
      <w:r>
        <w:rPr>
          <w:rFonts w:ascii="仿宋" w:hAnsi="仿宋" w:eastAsia="仿宋" w:cs="仿宋"/>
          <w:color w:val="auto"/>
          <w:spacing w:val="24"/>
          <w:sz w:val="31"/>
          <w:szCs w:val="31"/>
        </w:rPr>
        <w:t>自然资源海洋气象等支出(类)</w:t>
      </w:r>
      <w:r>
        <w:rPr>
          <w:rFonts w:ascii="仿宋" w:hAnsi="仿宋" w:eastAsia="仿宋" w:cs="仿宋"/>
          <w:color w:val="auto"/>
          <w:spacing w:val="-46"/>
          <w:sz w:val="31"/>
          <w:szCs w:val="31"/>
        </w:rPr>
        <w:t xml:space="preserve"> </w:t>
      </w:r>
      <w:r>
        <w:rPr>
          <w:rFonts w:ascii="仿宋" w:hAnsi="仿宋" w:eastAsia="仿宋" w:cs="仿宋"/>
          <w:color w:val="auto"/>
          <w:spacing w:val="24"/>
          <w:sz w:val="31"/>
          <w:szCs w:val="31"/>
        </w:rPr>
        <w:t>自然资源事务</w:t>
      </w:r>
      <w:r>
        <w:rPr>
          <w:rFonts w:ascii="仿宋" w:hAnsi="仿宋" w:eastAsia="仿宋" w:cs="仿宋"/>
          <w:color w:val="auto"/>
          <w:spacing w:val="-56"/>
          <w:sz w:val="31"/>
          <w:szCs w:val="31"/>
        </w:rPr>
        <w:t xml:space="preserve"> </w:t>
      </w:r>
      <w:r>
        <w:rPr>
          <w:rFonts w:ascii="仿宋" w:hAnsi="仿宋" w:eastAsia="仿宋" w:cs="仿宋"/>
          <w:color w:val="auto"/>
          <w:spacing w:val="24"/>
          <w:sz w:val="31"/>
          <w:szCs w:val="31"/>
        </w:rPr>
        <w:t>(款)行</w:t>
      </w:r>
      <w:r>
        <w:rPr>
          <w:rFonts w:ascii="仿宋" w:hAnsi="仿宋" w:eastAsia="仿宋" w:cs="仿宋"/>
          <w:color w:val="auto"/>
          <w:spacing w:val="23"/>
          <w:sz w:val="31"/>
          <w:szCs w:val="31"/>
        </w:rPr>
        <w:t>政运行</w:t>
      </w:r>
      <w:r>
        <w:rPr>
          <w:rFonts w:ascii="仿宋" w:hAnsi="仿宋" w:eastAsia="仿宋" w:cs="仿宋"/>
          <w:color w:val="auto"/>
          <w:sz w:val="31"/>
          <w:szCs w:val="31"/>
        </w:rPr>
        <w:t xml:space="preserve"> </w:t>
      </w:r>
      <w:r>
        <w:rPr>
          <w:rFonts w:ascii="仿宋" w:hAnsi="仿宋" w:eastAsia="仿宋" w:cs="仿宋"/>
          <w:color w:val="auto"/>
          <w:spacing w:val="6"/>
          <w:sz w:val="31"/>
          <w:szCs w:val="31"/>
        </w:rPr>
        <w:t>(项)：反映行政单位（包括实行公务员管理的事业单位)的</w:t>
      </w:r>
      <w:r>
        <w:rPr>
          <w:rFonts w:ascii="仿宋" w:hAnsi="仿宋" w:eastAsia="仿宋" w:cs="仿宋"/>
          <w:color w:val="auto"/>
          <w:spacing w:val="5"/>
          <w:sz w:val="31"/>
          <w:szCs w:val="31"/>
        </w:rPr>
        <w:t>基本支出。</w:t>
      </w:r>
    </w:p>
    <w:p w14:paraId="6083A811">
      <w:pPr>
        <w:spacing w:before="54" w:line="360" w:lineRule="auto"/>
        <w:ind w:right="2" w:firstLine="629"/>
        <w:rPr>
          <w:rFonts w:ascii="仿宋" w:hAnsi="仿宋" w:eastAsia="仿宋" w:cs="仿宋"/>
          <w:color w:val="auto"/>
          <w:sz w:val="31"/>
          <w:szCs w:val="31"/>
        </w:rPr>
      </w:pPr>
      <w:r>
        <w:rPr>
          <w:rFonts w:ascii="仿宋" w:hAnsi="仿宋" w:eastAsia="仿宋" w:cs="仿宋"/>
          <w:color w:val="auto"/>
          <w:spacing w:val="10"/>
          <w:sz w:val="31"/>
          <w:szCs w:val="31"/>
        </w:rPr>
        <w:t>4.</w:t>
      </w:r>
      <w:r>
        <w:rPr>
          <w:rFonts w:ascii="仿宋" w:hAnsi="仿宋" w:eastAsia="仿宋" w:cs="仿宋"/>
          <w:color w:val="auto"/>
          <w:spacing w:val="-70"/>
          <w:sz w:val="31"/>
          <w:szCs w:val="31"/>
        </w:rPr>
        <w:t xml:space="preserve"> </w:t>
      </w:r>
      <w:r>
        <w:rPr>
          <w:rFonts w:ascii="仿宋" w:hAnsi="仿宋" w:eastAsia="仿宋" w:cs="仿宋"/>
          <w:color w:val="auto"/>
          <w:spacing w:val="10"/>
          <w:sz w:val="31"/>
          <w:szCs w:val="31"/>
        </w:rPr>
        <w:t>自然资源海洋气象等支出(类)自然资源事务(款)一般行政管理</w:t>
      </w:r>
      <w:r>
        <w:rPr>
          <w:rFonts w:ascii="仿宋" w:hAnsi="仿宋" w:eastAsia="仿宋" w:cs="仿宋"/>
          <w:color w:val="auto"/>
          <w:sz w:val="31"/>
          <w:szCs w:val="31"/>
        </w:rPr>
        <w:t xml:space="preserve"> </w:t>
      </w:r>
      <w:r>
        <w:rPr>
          <w:rFonts w:ascii="仿宋" w:hAnsi="仿宋" w:eastAsia="仿宋" w:cs="仿宋"/>
          <w:color w:val="auto"/>
          <w:spacing w:val="13"/>
          <w:sz w:val="31"/>
          <w:szCs w:val="31"/>
        </w:rPr>
        <w:t>事务(项)：反映行政单位(包括实行公务员</w:t>
      </w:r>
      <w:r>
        <w:rPr>
          <w:rFonts w:ascii="仿宋" w:hAnsi="仿宋" w:eastAsia="仿宋" w:cs="仿宋"/>
          <w:color w:val="auto"/>
          <w:spacing w:val="12"/>
          <w:sz w:val="31"/>
          <w:szCs w:val="31"/>
        </w:rPr>
        <w:t>管理的事业单位)未单独设</w:t>
      </w:r>
      <w:r>
        <w:rPr>
          <w:rFonts w:ascii="仿宋" w:hAnsi="仿宋" w:eastAsia="仿宋" w:cs="仿宋"/>
          <w:color w:val="auto"/>
          <w:sz w:val="31"/>
          <w:szCs w:val="31"/>
        </w:rPr>
        <w:t xml:space="preserve"> </w:t>
      </w:r>
      <w:r>
        <w:rPr>
          <w:rFonts w:ascii="仿宋" w:hAnsi="仿宋" w:eastAsia="仿宋" w:cs="仿宋"/>
          <w:color w:val="auto"/>
          <w:spacing w:val="7"/>
          <w:sz w:val="31"/>
          <w:szCs w:val="31"/>
        </w:rPr>
        <w:t>置项级科目的其他项目支出。</w:t>
      </w:r>
    </w:p>
    <w:p w14:paraId="6ADCBEF6">
      <w:pPr>
        <w:spacing w:before="57" w:line="359" w:lineRule="auto"/>
        <w:ind w:left="12" w:right="2" w:firstLine="624"/>
        <w:rPr>
          <w:rFonts w:ascii="仿宋" w:hAnsi="仿宋" w:eastAsia="仿宋" w:cs="仿宋"/>
          <w:color w:val="auto"/>
          <w:sz w:val="31"/>
          <w:szCs w:val="31"/>
        </w:rPr>
      </w:pPr>
      <w:r>
        <w:rPr>
          <w:rFonts w:ascii="仿宋" w:hAnsi="仿宋" w:eastAsia="仿宋" w:cs="仿宋"/>
          <w:color w:val="auto"/>
          <w:spacing w:val="10"/>
          <w:sz w:val="31"/>
          <w:szCs w:val="31"/>
        </w:rPr>
        <w:t>5.</w:t>
      </w:r>
      <w:r>
        <w:rPr>
          <w:rFonts w:ascii="仿宋" w:hAnsi="仿宋" w:eastAsia="仿宋" w:cs="仿宋"/>
          <w:color w:val="auto"/>
          <w:spacing w:val="-70"/>
          <w:sz w:val="31"/>
          <w:szCs w:val="31"/>
        </w:rPr>
        <w:t xml:space="preserve"> </w:t>
      </w:r>
      <w:r>
        <w:rPr>
          <w:rFonts w:ascii="仿宋" w:hAnsi="仿宋" w:eastAsia="仿宋" w:cs="仿宋"/>
          <w:color w:val="auto"/>
          <w:spacing w:val="10"/>
          <w:sz w:val="31"/>
          <w:szCs w:val="31"/>
        </w:rPr>
        <w:t>自然资源海洋气象等支出(类)自然资源事务(</w:t>
      </w:r>
      <w:r>
        <w:rPr>
          <w:rFonts w:ascii="仿宋" w:hAnsi="仿宋" w:eastAsia="仿宋" w:cs="仿宋"/>
          <w:color w:val="auto"/>
          <w:spacing w:val="9"/>
          <w:sz w:val="31"/>
          <w:szCs w:val="31"/>
        </w:rPr>
        <w:t>款)自然资源利用</w:t>
      </w:r>
      <w:r>
        <w:rPr>
          <w:rFonts w:ascii="仿宋" w:hAnsi="仿宋" w:eastAsia="仿宋" w:cs="仿宋"/>
          <w:color w:val="auto"/>
          <w:sz w:val="31"/>
          <w:szCs w:val="31"/>
        </w:rPr>
        <w:t xml:space="preserve"> </w:t>
      </w:r>
      <w:r>
        <w:rPr>
          <w:rFonts w:ascii="仿宋" w:hAnsi="仿宋" w:eastAsia="仿宋" w:cs="仿宋"/>
          <w:color w:val="auto"/>
          <w:spacing w:val="10"/>
          <w:sz w:val="31"/>
          <w:szCs w:val="31"/>
        </w:rPr>
        <w:t>与保护(项)：反映用于自然资源有偿使用与合理开发利用，</w:t>
      </w:r>
      <w:r>
        <w:rPr>
          <w:rFonts w:ascii="仿宋" w:hAnsi="仿宋" w:eastAsia="仿宋" w:cs="仿宋"/>
          <w:color w:val="auto"/>
          <w:spacing w:val="-73"/>
          <w:sz w:val="31"/>
          <w:szCs w:val="31"/>
        </w:rPr>
        <w:t xml:space="preserve"> </w:t>
      </w:r>
      <w:r>
        <w:rPr>
          <w:rFonts w:ascii="仿宋" w:hAnsi="仿宋" w:eastAsia="仿宋" w:cs="仿宋"/>
          <w:color w:val="auto"/>
          <w:spacing w:val="10"/>
          <w:sz w:val="31"/>
          <w:szCs w:val="31"/>
        </w:rPr>
        <w:t>国土空间</w:t>
      </w:r>
      <w:r>
        <w:rPr>
          <w:rFonts w:ascii="仿宋" w:hAnsi="仿宋" w:eastAsia="仿宋" w:cs="仿宋"/>
          <w:color w:val="auto"/>
          <w:sz w:val="31"/>
          <w:szCs w:val="31"/>
        </w:rPr>
        <w:t xml:space="preserve"> </w:t>
      </w:r>
      <w:r>
        <w:rPr>
          <w:rFonts w:ascii="仿宋" w:hAnsi="仿宋" w:eastAsia="仿宋" w:cs="仿宋"/>
          <w:color w:val="auto"/>
          <w:spacing w:val="4"/>
          <w:sz w:val="31"/>
          <w:szCs w:val="31"/>
        </w:rPr>
        <w:t>生态修复，</w:t>
      </w:r>
      <w:r>
        <w:rPr>
          <w:rFonts w:ascii="仿宋" w:hAnsi="仿宋" w:eastAsia="仿宋" w:cs="仿宋"/>
          <w:color w:val="auto"/>
          <w:spacing w:val="-76"/>
          <w:sz w:val="31"/>
          <w:szCs w:val="31"/>
        </w:rPr>
        <w:t xml:space="preserve"> </w:t>
      </w:r>
      <w:r>
        <w:rPr>
          <w:rFonts w:ascii="仿宋" w:hAnsi="仿宋" w:eastAsia="仿宋" w:cs="仿宋"/>
          <w:color w:val="auto"/>
          <w:spacing w:val="4"/>
          <w:sz w:val="31"/>
          <w:szCs w:val="31"/>
        </w:rPr>
        <w:t>国土整治，耕地保护等方面的支出。</w:t>
      </w:r>
    </w:p>
    <w:p w14:paraId="7E393B6C">
      <w:pPr>
        <w:spacing w:before="60" w:line="360" w:lineRule="auto"/>
        <w:ind w:left="10" w:firstLine="623"/>
        <w:rPr>
          <w:rFonts w:ascii="仿宋" w:hAnsi="仿宋" w:eastAsia="仿宋" w:cs="仿宋"/>
          <w:color w:val="auto"/>
          <w:sz w:val="31"/>
          <w:szCs w:val="31"/>
        </w:rPr>
      </w:pPr>
      <w:r>
        <w:rPr>
          <w:rFonts w:ascii="仿宋" w:hAnsi="仿宋" w:eastAsia="仿宋" w:cs="仿宋"/>
          <w:color w:val="auto"/>
          <w:spacing w:val="10"/>
          <w:sz w:val="31"/>
          <w:szCs w:val="31"/>
        </w:rPr>
        <w:t>6.</w:t>
      </w:r>
      <w:r>
        <w:rPr>
          <w:rFonts w:ascii="仿宋" w:hAnsi="仿宋" w:eastAsia="仿宋" w:cs="仿宋"/>
          <w:color w:val="auto"/>
          <w:spacing w:val="-70"/>
          <w:sz w:val="31"/>
          <w:szCs w:val="31"/>
        </w:rPr>
        <w:t xml:space="preserve"> </w:t>
      </w:r>
      <w:r>
        <w:rPr>
          <w:rFonts w:ascii="仿宋" w:hAnsi="仿宋" w:eastAsia="仿宋" w:cs="仿宋"/>
          <w:color w:val="auto"/>
          <w:spacing w:val="10"/>
          <w:sz w:val="31"/>
          <w:szCs w:val="31"/>
        </w:rPr>
        <w:t>自然资源海洋气象等支出(类)自然资源事务(款)自然</w:t>
      </w:r>
      <w:r>
        <w:rPr>
          <w:rFonts w:ascii="仿宋" w:hAnsi="仿宋" w:eastAsia="仿宋" w:cs="仿宋"/>
          <w:color w:val="auto"/>
          <w:spacing w:val="9"/>
          <w:sz w:val="31"/>
          <w:szCs w:val="31"/>
        </w:rPr>
        <w:t>资源调查</w:t>
      </w:r>
      <w:r>
        <w:rPr>
          <w:rFonts w:ascii="仿宋" w:hAnsi="仿宋" w:eastAsia="仿宋" w:cs="仿宋"/>
          <w:color w:val="auto"/>
          <w:sz w:val="31"/>
          <w:szCs w:val="31"/>
        </w:rPr>
        <w:t xml:space="preserve"> </w:t>
      </w:r>
      <w:r>
        <w:rPr>
          <w:rFonts w:ascii="仿宋" w:hAnsi="仿宋" w:eastAsia="仿宋" w:cs="仿宋"/>
          <w:color w:val="auto"/>
          <w:spacing w:val="10"/>
          <w:sz w:val="31"/>
          <w:szCs w:val="31"/>
        </w:rPr>
        <w:t>与确权登记(项)：反映自然资源部门用于自然资源</w:t>
      </w:r>
      <w:r>
        <w:rPr>
          <w:rFonts w:ascii="仿宋" w:hAnsi="仿宋" w:eastAsia="仿宋" w:cs="仿宋"/>
          <w:color w:val="auto"/>
          <w:spacing w:val="9"/>
          <w:sz w:val="31"/>
          <w:szCs w:val="31"/>
        </w:rPr>
        <w:t>调查监测评价。</w:t>
      </w:r>
      <w:r>
        <w:rPr>
          <w:rFonts w:ascii="仿宋" w:hAnsi="仿宋" w:eastAsia="仿宋" w:cs="仿宋"/>
          <w:color w:val="auto"/>
          <w:spacing w:val="-60"/>
          <w:sz w:val="31"/>
          <w:szCs w:val="31"/>
        </w:rPr>
        <w:t xml:space="preserve"> </w:t>
      </w:r>
      <w:r>
        <w:rPr>
          <w:rFonts w:ascii="仿宋" w:hAnsi="仿宋" w:eastAsia="仿宋" w:cs="仿宋"/>
          <w:color w:val="auto"/>
          <w:spacing w:val="9"/>
          <w:sz w:val="31"/>
          <w:szCs w:val="31"/>
        </w:rPr>
        <w:t>自</w:t>
      </w:r>
      <w:r>
        <w:rPr>
          <w:rFonts w:ascii="仿宋" w:hAnsi="仿宋" w:eastAsia="仿宋" w:cs="仿宋"/>
          <w:color w:val="auto"/>
          <w:sz w:val="31"/>
          <w:szCs w:val="31"/>
        </w:rPr>
        <w:t xml:space="preserve"> </w:t>
      </w:r>
      <w:r>
        <w:rPr>
          <w:rFonts w:ascii="仿宋" w:hAnsi="仿宋" w:eastAsia="仿宋" w:cs="仿宋"/>
          <w:color w:val="auto"/>
          <w:spacing w:val="7"/>
          <w:sz w:val="31"/>
          <w:szCs w:val="31"/>
        </w:rPr>
        <w:t>然资源统一确权登记等方面的支出。</w:t>
      </w:r>
    </w:p>
    <w:p w14:paraId="3818F002">
      <w:pPr>
        <w:spacing w:before="51" w:line="360" w:lineRule="auto"/>
        <w:ind w:left="17" w:firstLine="621"/>
        <w:rPr>
          <w:rFonts w:ascii="仿宋" w:hAnsi="仿宋" w:eastAsia="仿宋" w:cs="仿宋"/>
          <w:color w:val="auto"/>
          <w:sz w:val="31"/>
          <w:szCs w:val="31"/>
        </w:rPr>
      </w:pPr>
      <w:r>
        <w:rPr>
          <w:rFonts w:ascii="仿宋" w:hAnsi="仿宋" w:eastAsia="仿宋" w:cs="仿宋"/>
          <w:color w:val="auto"/>
          <w:spacing w:val="24"/>
          <w:sz w:val="31"/>
          <w:szCs w:val="31"/>
        </w:rPr>
        <w:t>7.</w:t>
      </w:r>
      <w:r>
        <w:rPr>
          <w:rFonts w:ascii="仿宋" w:hAnsi="仿宋" w:eastAsia="仿宋" w:cs="仿宋"/>
          <w:color w:val="auto"/>
          <w:spacing w:val="-46"/>
          <w:sz w:val="31"/>
          <w:szCs w:val="31"/>
        </w:rPr>
        <w:t xml:space="preserve"> </w:t>
      </w:r>
      <w:r>
        <w:rPr>
          <w:rFonts w:ascii="仿宋" w:hAnsi="仿宋" w:eastAsia="仿宋" w:cs="仿宋"/>
          <w:color w:val="auto"/>
          <w:spacing w:val="24"/>
          <w:sz w:val="31"/>
          <w:szCs w:val="31"/>
        </w:rPr>
        <w:t>自然资源海洋气象等支出(类)</w:t>
      </w:r>
      <w:r>
        <w:rPr>
          <w:rFonts w:ascii="仿宋" w:hAnsi="仿宋" w:eastAsia="仿宋" w:cs="仿宋"/>
          <w:color w:val="auto"/>
          <w:spacing w:val="-46"/>
          <w:sz w:val="31"/>
          <w:szCs w:val="31"/>
        </w:rPr>
        <w:t xml:space="preserve"> </w:t>
      </w:r>
      <w:r>
        <w:rPr>
          <w:rFonts w:ascii="仿宋" w:hAnsi="仿宋" w:eastAsia="仿宋" w:cs="仿宋"/>
          <w:color w:val="auto"/>
          <w:spacing w:val="24"/>
          <w:sz w:val="31"/>
          <w:szCs w:val="31"/>
        </w:rPr>
        <w:t>自然资源事务</w:t>
      </w:r>
      <w:r>
        <w:rPr>
          <w:rFonts w:ascii="仿宋" w:hAnsi="仿宋" w:eastAsia="仿宋" w:cs="仿宋"/>
          <w:color w:val="auto"/>
          <w:spacing w:val="-57"/>
          <w:sz w:val="31"/>
          <w:szCs w:val="31"/>
        </w:rPr>
        <w:t xml:space="preserve"> </w:t>
      </w:r>
      <w:r>
        <w:rPr>
          <w:rFonts w:ascii="仿宋" w:hAnsi="仿宋" w:eastAsia="仿宋" w:cs="仿宋"/>
          <w:color w:val="auto"/>
          <w:spacing w:val="24"/>
          <w:sz w:val="31"/>
          <w:szCs w:val="31"/>
        </w:rPr>
        <w:t>(款)</w:t>
      </w:r>
      <w:r>
        <w:rPr>
          <w:rFonts w:ascii="仿宋" w:hAnsi="仿宋" w:eastAsia="仿宋" w:cs="仿宋"/>
          <w:color w:val="auto"/>
          <w:spacing w:val="23"/>
          <w:sz w:val="31"/>
          <w:szCs w:val="31"/>
        </w:rPr>
        <w:t>事业运行</w:t>
      </w:r>
      <w:r>
        <w:rPr>
          <w:rFonts w:ascii="仿宋" w:hAnsi="仿宋" w:eastAsia="仿宋" w:cs="仿宋"/>
          <w:color w:val="auto"/>
          <w:sz w:val="31"/>
          <w:szCs w:val="31"/>
        </w:rPr>
        <w:t xml:space="preserve"> </w:t>
      </w:r>
      <w:r>
        <w:rPr>
          <w:rFonts w:ascii="仿宋" w:hAnsi="仿宋" w:eastAsia="仿宋" w:cs="仿宋"/>
          <w:color w:val="auto"/>
          <w:spacing w:val="12"/>
          <w:sz w:val="31"/>
          <w:szCs w:val="31"/>
        </w:rPr>
        <w:t>(项)：反映事业单位的基本支出，不包括行政单位（包括实行公务员</w:t>
      </w:r>
      <w:r>
        <w:rPr>
          <w:rFonts w:ascii="仿宋" w:hAnsi="仿宋" w:eastAsia="仿宋" w:cs="仿宋"/>
          <w:color w:val="auto"/>
          <w:spacing w:val="15"/>
          <w:sz w:val="31"/>
          <w:szCs w:val="31"/>
        </w:rPr>
        <w:t xml:space="preserve"> </w:t>
      </w:r>
      <w:r>
        <w:rPr>
          <w:rFonts w:ascii="仿宋" w:hAnsi="仿宋" w:eastAsia="仿宋" w:cs="仿宋"/>
          <w:color w:val="auto"/>
          <w:spacing w:val="8"/>
          <w:sz w:val="31"/>
          <w:szCs w:val="31"/>
        </w:rPr>
        <w:t>管理的事业单位）后勤服务中心、医务室等附属事业单位。</w:t>
      </w:r>
    </w:p>
    <w:p w14:paraId="1D123370">
      <w:pPr>
        <w:spacing w:before="53" w:line="353" w:lineRule="auto"/>
        <w:ind w:right="2" w:firstLine="687"/>
        <w:rPr>
          <w:rFonts w:ascii="仿宋" w:hAnsi="仿宋" w:eastAsia="仿宋" w:cs="仿宋"/>
          <w:color w:val="auto"/>
          <w:sz w:val="31"/>
          <w:szCs w:val="31"/>
        </w:rPr>
      </w:pPr>
      <w:r>
        <w:rPr>
          <w:rFonts w:ascii="仿宋" w:hAnsi="仿宋" w:eastAsia="仿宋" w:cs="仿宋"/>
          <w:color w:val="auto"/>
          <w:spacing w:val="11"/>
          <w:sz w:val="31"/>
          <w:szCs w:val="31"/>
        </w:rPr>
        <w:t>(十一)结余分配：指事业单位按照会计制度规定缴纳的企业所得</w:t>
      </w:r>
      <w:r>
        <w:rPr>
          <w:rFonts w:ascii="仿宋" w:hAnsi="仿宋" w:eastAsia="仿宋" w:cs="仿宋"/>
          <w:color w:val="auto"/>
          <w:spacing w:val="18"/>
          <w:sz w:val="31"/>
          <w:szCs w:val="31"/>
        </w:rPr>
        <w:t xml:space="preserve"> </w:t>
      </w:r>
      <w:r>
        <w:rPr>
          <w:rFonts w:ascii="仿宋" w:hAnsi="仿宋" w:eastAsia="仿宋" w:cs="仿宋"/>
          <w:color w:val="auto"/>
          <w:spacing w:val="8"/>
          <w:sz w:val="31"/>
          <w:szCs w:val="31"/>
        </w:rPr>
        <w:t>税、提取的专用结余以及转入非财政拨款结余的金额等。</w:t>
      </w:r>
    </w:p>
    <w:p w14:paraId="038EF0E3">
      <w:pPr>
        <w:spacing w:before="59" w:line="355" w:lineRule="auto"/>
        <w:ind w:right="2" w:firstLine="687"/>
        <w:rPr>
          <w:rFonts w:ascii="仿宋" w:hAnsi="仿宋" w:eastAsia="仿宋" w:cs="仿宋"/>
          <w:color w:val="auto"/>
          <w:sz w:val="31"/>
          <w:szCs w:val="31"/>
        </w:rPr>
      </w:pPr>
      <w:r>
        <w:rPr>
          <w:rFonts w:ascii="仿宋" w:hAnsi="仿宋" w:eastAsia="仿宋" w:cs="仿宋"/>
          <w:color w:val="auto"/>
          <w:spacing w:val="11"/>
          <w:sz w:val="31"/>
          <w:szCs w:val="31"/>
        </w:rPr>
        <w:t>(十二)年末结转和结余：指单位按有关规定结转到下年或以后年</w:t>
      </w:r>
      <w:r>
        <w:rPr>
          <w:rFonts w:ascii="仿宋" w:hAnsi="仿宋" w:eastAsia="仿宋" w:cs="仿宋"/>
          <w:color w:val="auto"/>
          <w:spacing w:val="18"/>
          <w:sz w:val="31"/>
          <w:szCs w:val="31"/>
        </w:rPr>
        <w:t xml:space="preserve"> </w:t>
      </w:r>
      <w:r>
        <w:rPr>
          <w:rFonts w:ascii="仿宋" w:hAnsi="仿宋" w:eastAsia="仿宋" w:cs="仿宋"/>
          <w:color w:val="auto"/>
          <w:spacing w:val="8"/>
          <w:sz w:val="31"/>
          <w:szCs w:val="31"/>
        </w:rPr>
        <w:t>度继续使用的资金，或项目已完成等产生的结余资金。</w:t>
      </w:r>
    </w:p>
    <w:p w14:paraId="696DCA61">
      <w:pPr>
        <w:spacing w:before="55" w:line="355" w:lineRule="auto"/>
        <w:ind w:left="8" w:right="2" w:firstLine="678"/>
        <w:rPr>
          <w:rFonts w:ascii="仿宋" w:hAnsi="仿宋" w:eastAsia="仿宋" w:cs="仿宋"/>
          <w:color w:val="auto"/>
          <w:spacing w:val="6"/>
          <w:sz w:val="31"/>
          <w:szCs w:val="31"/>
        </w:rPr>
      </w:pPr>
      <w:r>
        <w:rPr>
          <w:rFonts w:ascii="仿宋" w:hAnsi="仿宋" w:eastAsia="仿宋" w:cs="仿宋"/>
          <w:color w:val="auto"/>
          <w:spacing w:val="11"/>
          <w:sz w:val="31"/>
          <w:szCs w:val="31"/>
        </w:rPr>
        <w:t>(十三)基本支出：指为保障机构正常运转、完成日常工作任务而</w:t>
      </w:r>
      <w:r>
        <w:rPr>
          <w:rFonts w:ascii="仿宋" w:hAnsi="仿宋" w:eastAsia="仿宋" w:cs="仿宋"/>
          <w:color w:val="auto"/>
          <w:spacing w:val="18"/>
          <w:sz w:val="31"/>
          <w:szCs w:val="31"/>
        </w:rPr>
        <w:t xml:space="preserve"> </w:t>
      </w:r>
      <w:r>
        <w:rPr>
          <w:rFonts w:ascii="仿宋" w:hAnsi="仿宋" w:eastAsia="仿宋" w:cs="仿宋"/>
          <w:color w:val="auto"/>
          <w:spacing w:val="6"/>
          <w:sz w:val="31"/>
          <w:szCs w:val="31"/>
        </w:rPr>
        <w:t>发生的人员支出和公用支出。</w:t>
      </w:r>
    </w:p>
    <w:p w14:paraId="348597F6">
      <w:pPr>
        <w:spacing w:before="65" w:line="356" w:lineRule="auto"/>
        <w:ind w:left="12" w:right="162" w:firstLine="678"/>
        <w:rPr>
          <w:rFonts w:ascii="仿宋" w:hAnsi="仿宋" w:eastAsia="仿宋" w:cs="仿宋"/>
          <w:color w:val="auto"/>
          <w:sz w:val="31"/>
          <w:szCs w:val="31"/>
        </w:rPr>
      </w:pPr>
      <w:r>
        <w:rPr>
          <w:rFonts w:ascii="仿宋" w:hAnsi="仿宋" w:eastAsia="仿宋" w:cs="仿宋"/>
          <w:color w:val="auto"/>
          <w:spacing w:val="11"/>
          <w:sz w:val="31"/>
          <w:szCs w:val="31"/>
        </w:rPr>
        <w:t>(十四)项目支出：指在基本支出之外为完成特定行政任务或事业</w:t>
      </w:r>
      <w:r>
        <w:rPr>
          <w:rFonts w:ascii="仿宋" w:hAnsi="仿宋" w:eastAsia="仿宋" w:cs="仿宋"/>
          <w:color w:val="auto"/>
          <w:spacing w:val="18"/>
          <w:sz w:val="31"/>
          <w:szCs w:val="31"/>
        </w:rPr>
        <w:t xml:space="preserve"> </w:t>
      </w:r>
      <w:r>
        <w:rPr>
          <w:rFonts w:ascii="仿宋" w:hAnsi="仿宋" w:eastAsia="仿宋" w:cs="仿宋"/>
          <w:color w:val="auto"/>
          <w:spacing w:val="6"/>
          <w:sz w:val="31"/>
          <w:szCs w:val="31"/>
        </w:rPr>
        <w:t>发展目标所发生的支出。</w:t>
      </w:r>
    </w:p>
    <w:p w14:paraId="34F922D2">
      <w:pPr>
        <w:spacing w:before="50" w:line="354" w:lineRule="auto"/>
        <w:ind w:left="2" w:right="162" w:firstLine="688"/>
        <w:rPr>
          <w:rFonts w:ascii="仿宋" w:hAnsi="仿宋" w:eastAsia="仿宋" w:cs="仿宋"/>
          <w:color w:val="auto"/>
          <w:sz w:val="31"/>
          <w:szCs w:val="31"/>
        </w:rPr>
      </w:pPr>
      <w:r>
        <w:rPr>
          <w:rFonts w:ascii="仿宋" w:hAnsi="仿宋" w:eastAsia="仿宋" w:cs="仿宋"/>
          <w:color w:val="auto"/>
          <w:spacing w:val="11"/>
          <w:sz w:val="31"/>
          <w:szCs w:val="31"/>
        </w:rPr>
        <w:t>(十五)经营支出：指事业单位在专业活动及辅助活动之外开展非</w:t>
      </w:r>
      <w:r>
        <w:rPr>
          <w:rFonts w:ascii="仿宋" w:hAnsi="仿宋" w:eastAsia="仿宋" w:cs="仿宋"/>
          <w:color w:val="auto"/>
          <w:spacing w:val="18"/>
          <w:sz w:val="31"/>
          <w:szCs w:val="31"/>
        </w:rPr>
        <w:t xml:space="preserve"> </w:t>
      </w:r>
      <w:r>
        <w:rPr>
          <w:rFonts w:ascii="仿宋" w:hAnsi="仿宋" w:eastAsia="仿宋" w:cs="仿宋"/>
          <w:color w:val="auto"/>
          <w:spacing w:val="7"/>
          <w:sz w:val="31"/>
          <w:szCs w:val="31"/>
        </w:rPr>
        <w:t>独立核算经营活动发生的支出。</w:t>
      </w:r>
    </w:p>
    <w:p w14:paraId="4096F479">
      <w:pPr>
        <w:spacing w:before="54" w:line="367" w:lineRule="auto"/>
        <w:ind w:left="3" w:firstLine="687"/>
        <w:rPr>
          <w:rFonts w:ascii="仿宋" w:hAnsi="仿宋" w:eastAsia="仿宋" w:cs="仿宋"/>
          <w:color w:val="auto"/>
          <w:sz w:val="31"/>
          <w:szCs w:val="31"/>
        </w:rPr>
      </w:pPr>
      <w:r>
        <w:rPr>
          <w:rFonts w:ascii="仿宋" w:hAnsi="仿宋" w:eastAsia="仿宋" w:cs="仿宋"/>
          <w:color w:val="auto"/>
          <w:spacing w:val="3"/>
          <w:sz w:val="31"/>
          <w:szCs w:val="31"/>
        </w:rPr>
        <w:t>(十六)“三公</w:t>
      </w:r>
      <w:r>
        <w:rPr>
          <w:rFonts w:ascii="仿宋" w:hAnsi="仿宋" w:eastAsia="仿宋" w:cs="仿宋"/>
          <w:color w:val="auto"/>
          <w:spacing w:val="-101"/>
          <w:sz w:val="31"/>
          <w:szCs w:val="31"/>
        </w:rPr>
        <w:t xml:space="preserve"> </w:t>
      </w:r>
      <w:r>
        <w:rPr>
          <w:rFonts w:ascii="仿宋" w:hAnsi="仿宋" w:eastAsia="仿宋" w:cs="仿宋"/>
          <w:color w:val="auto"/>
          <w:spacing w:val="3"/>
          <w:sz w:val="31"/>
          <w:szCs w:val="31"/>
        </w:rPr>
        <w:t>”经费：纳入省级财政预决算管理的“三公</w:t>
      </w:r>
      <w:r>
        <w:rPr>
          <w:rFonts w:ascii="仿宋" w:hAnsi="仿宋" w:eastAsia="仿宋" w:cs="仿宋"/>
          <w:color w:val="auto"/>
          <w:spacing w:val="-110"/>
          <w:sz w:val="31"/>
          <w:szCs w:val="31"/>
        </w:rPr>
        <w:t xml:space="preserve"> </w:t>
      </w:r>
      <w:r>
        <w:rPr>
          <w:rFonts w:ascii="仿宋" w:hAnsi="仿宋" w:eastAsia="仿宋" w:cs="仿宋"/>
          <w:color w:val="auto"/>
          <w:spacing w:val="3"/>
          <w:sz w:val="31"/>
          <w:szCs w:val="31"/>
        </w:rPr>
        <w:t>”经费，</w:t>
      </w:r>
      <w:r>
        <w:rPr>
          <w:rFonts w:ascii="仿宋" w:hAnsi="仿宋" w:eastAsia="仿宋" w:cs="仿宋"/>
          <w:color w:val="auto"/>
          <w:sz w:val="31"/>
          <w:szCs w:val="31"/>
        </w:rPr>
        <w:t xml:space="preserve"> </w:t>
      </w:r>
      <w:r>
        <w:rPr>
          <w:rFonts w:ascii="仿宋" w:hAnsi="仿宋" w:eastAsia="仿宋" w:cs="仿宋"/>
          <w:color w:val="auto"/>
          <w:spacing w:val="13"/>
          <w:sz w:val="31"/>
          <w:szCs w:val="31"/>
        </w:rPr>
        <w:t>是指省直部门用财政拨款安排的因公出国(境)费、公务用车购置及运</w:t>
      </w:r>
      <w:r>
        <w:rPr>
          <w:rFonts w:ascii="仿宋" w:hAnsi="仿宋" w:eastAsia="仿宋" w:cs="仿宋"/>
          <w:color w:val="auto"/>
          <w:sz w:val="31"/>
          <w:szCs w:val="31"/>
        </w:rPr>
        <w:t xml:space="preserve">  </w:t>
      </w:r>
      <w:r>
        <w:rPr>
          <w:rFonts w:ascii="仿宋" w:hAnsi="仿宋" w:eastAsia="仿宋" w:cs="仿宋"/>
          <w:color w:val="auto"/>
          <w:spacing w:val="11"/>
          <w:sz w:val="31"/>
          <w:szCs w:val="31"/>
        </w:rPr>
        <w:t>行费和公务接待费。其中，</w:t>
      </w:r>
      <w:r>
        <w:rPr>
          <w:rFonts w:ascii="仿宋" w:hAnsi="仿宋" w:eastAsia="仿宋" w:cs="仿宋"/>
          <w:color w:val="auto"/>
          <w:spacing w:val="-91"/>
          <w:sz w:val="31"/>
          <w:szCs w:val="31"/>
        </w:rPr>
        <w:t xml:space="preserve"> </w:t>
      </w:r>
      <w:r>
        <w:rPr>
          <w:rFonts w:ascii="仿宋" w:hAnsi="仿宋" w:eastAsia="仿宋" w:cs="仿宋"/>
          <w:color w:val="auto"/>
          <w:spacing w:val="11"/>
          <w:sz w:val="31"/>
          <w:szCs w:val="31"/>
        </w:rPr>
        <w:t>因公出国(境)费</w:t>
      </w:r>
      <w:r>
        <w:rPr>
          <w:rFonts w:ascii="仿宋" w:hAnsi="仿宋" w:eastAsia="仿宋" w:cs="仿宋"/>
          <w:color w:val="auto"/>
          <w:spacing w:val="10"/>
          <w:sz w:val="31"/>
          <w:szCs w:val="31"/>
        </w:rPr>
        <w:t>反映单位公务出国(境)的</w:t>
      </w:r>
      <w:r>
        <w:rPr>
          <w:rFonts w:ascii="仿宋" w:hAnsi="仿宋" w:eastAsia="仿宋" w:cs="仿宋"/>
          <w:color w:val="auto"/>
          <w:sz w:val="31"/>
          <w:szCs w:val="31"/>
        </w:rPr>
        <w:t xml:space="preserve">  </w:t>
      </w:r>
      <w:r>
        <w:rPr>
          <w:rFonts w:ascii="仿宋" w:hAnsi="仿宋" w:eastAsia="仿宋" w:cs="仿宋"/>
          <w:color w:val="auto"/>
          <w:spacing w:val="11"/>
          <w:sz w:val="31"/>
          <w:szCs w:val="31"/>
        </w:rPr>
        <w:t>国际旅费、</w:t>
      </w:r>
      <w:r>
        <w:rPr>
          <w:rFonts w:ascii="仿宋" w:hAnsi="仿宋" w:eastAsia="仿宋" w:cs="仿宋"/>
          <w:color w:val="auto"/>
          <w:spacing w:val="-81"/>
          <w:sz w:val="31"/>
          <w:szCs w:val="31"/>
        </w:rPr>
        <w:t xml:space="preserve"> </w:t>
      </w:r>
      <w:r>
        <w:rPr>
          <w:rFonts w:ascii="仿宋" w:hAnsi="仿宋" w:eastAsia="仿宋" w:cs="仿宋"/>
          <w:color w:val="auto"/>
          <w:spacing w:val="11"/>
          <w:sz w:val="31"/>
          <w:szCs w:val="31"/>
        </w:rPr>
        <w:t>国外城市间交通费、住宿费、伙食费、培训费、公杂费等</w:t>
      </w:r>
      <w:r>
        <w:rPr>
          <w:rFonts w:ascii="仿宋" w:hAnsi="仿宋" w:eastAsia="仿宋" w:cs="仿宋"/>
          <w:color w:val="auto"/>
          <w:sz w:val="31"/>
          <w:szCs w:val="31"/>
        </w:rPr>
        <w:t xml:space="preserve">  </w:t>
      </w:r>
      <w:r>
        <w:rPr>
          <w:rFonts w:ascii="仿宋" w:hAnsi="仿宋" w:eastAsia="仿宋" w:cs="仿宋"/>
          <w:color w:val="auto"/>
          <w:spacing w:val="8"/>
          <w:sz w:val="31"/>
          <w:szCs w:val="31"/>
        </w:rPr>
        <w:t>支出；公务用车购置及运行费反映单位公务用车购置支出(含车辆购置</w:t>
      </w:r>
      <w:r>
        <w:rPr>
          <w:rFonts w:ascii="仿宋" w:hAnsi="仿宋" w:eastAsia="仿宋" w:cs="仿宋"/>
          <w:color w:val="auto"/>
          <w:sz w:val="31"/>
          <w:szCs w:val="31"/>
        </w:rPr>
        <w:t xml:space="preserve">  </w:t>
      </w:r>
      <w:r>
        <w:rPr>
          <w:rFonts w:ascii="仿宋" w:hAnsi="仿宋" w:eastAsia="仿宋" w:cs="仿宋"/>
          <w:color w:val="auto"/>
          <w:spacing w:val="8"/>
          <w:sz w:val="31"/>
          <w:szCs w:val="31"/>
        </w:rPr>
        <w:t>税、牌照费)及燃料费、维修费、过桥过路费、保险费、安全奖励费用</w:t>
      </w:r>
      <w:r>
        <w:rPr>
          <w:rFonts w:ascii="仿宋" w:hAnsi="仿宋" w:eastAsia="仿宋" w:cs="仿宋"/>
          <w:color w:val="auto"/>
          <w:sz w:val="31"/>
          <w:szCs w:val="31"/>
        </w:rPr>
        <w:t xml:space="preserve">  </w:t>
      </w:r>
      <w:r>
        <w:rPr>
          <w:rFonts w:ascii="仿宋" w:hAnsi="仿宋" w:eastAsia="仿宋" w:cs="仿宋"/>
          <w:color w:val="auto"/>
          <w:spacing w:val="8"/>
          <w:sz w:val="31"/>
          <w:szCs w:val="31"/>
        </w:rPr>
        <w:t>等支出；公务接待费反映单位按规定开支的各类公务接待(含外宾接待)</w:t>
      </w:r>
      <w:r>
        <w:rPr>
          <w:rFonts w:ascii="仿宋" w:hAnsi="仿宋" w:eastAsia="仿宋" w:cs="仿宋"/>
          <w:color w:val="auto"/>
          <w:spacing w:val="1"/>
          <w:sz w:val="31"/>
          <w:szCs w:val="31"/>
        </w:rPr>
        <w:t xml:space="preserve"> </w:t>
      </w:r>
      <w:r>
        <w:rPr>
          <w:rFonts w:ascii="仿宋" w:hAnsi="仿宋" w:eastAsia="仿宋" w:cs="仿宋"/>
          <w:color w:val="auto"/>
          <w:spacing w:val="-1"/>
          <w:sz w:val="31"/>
          <w:szCs w:val="31"/>
        </w:rPr>
        <w:t>费用。</w:t>
      </w:r>
    </w:p>
    <w:p w14:paraId="7E80A746">
      <w:pPr>
        <w:spacing w:before="49" w:line="364" w:lineRule="auto"/>
        <w:ind w:left="3" w:right="159" w:firstLine="687"/>
        <w:rPr>
          <w:rFonts w:ascii="仿宋" w:hAnsi="仿宋" w:eastAsia="仿宋" w:cs="仿宋"/>
          <w:color w:val="auto"/>
          <w:sz w:val="31"/>
          <w:szCs w:val="31"/>
        </w:rPr>
      </w:pPr>
      <w:r>
        <w:rPr>
          <w:rFonts w:ascii="仿宋" w:hAnsi="仿宋" w:eastAsia="仿宋" w:cs="仿宋"/>
          <w:color w:val="auto"/>
          <w:spacing w:val="12"/>
          <w:sz w:val="31"/>
          <w:szCs w:val="31"/>
        </w:rPr>
        <w:t>(十七)机关运行经费：指为保障行政单位（包</w:t>
      </w:r>
      <w:r>
        <w:rPr>
          <w:rFonts w:ascii="仿宋" w:hAnsi="仿宋" w:eastAsia="仿宋" w:cs="仿宋"/>
          <w:color w:val="auto"/>
          <w:spacing w:val="11"/>
          <w:sz w:val="31"/>
          <w:szCs w:val="31"/>
        </w:rPr>
        <w:t>括参照公务员法管</w:t>
      </w:r>
      <w:r>
        <w:rPr>
          <w:rFonts w:ascii="仿宋" w:hAnsi="仿宋" w:eastAsia="仿宋" w:cs="仿宋"/>
          <w:color w:val="auto"/>
          <w:sz w:val="31"/>
          <w:szCs w:val="31"/>
        </w:rPr>
        <w:t xml:space="preserve"> </w:t>
      </w:r>
      <w:r>
        <w:rPr>
          <w:rFonts w:ascii="仿宋" w:hAnsi="仿宋" w:eastAsia="仿宋" w:cs="仿宋"/>
          <w:color w:val="auto"/>
          <w:spacing w:val="13"/>
          <w:sz w:val="31"/>
          <w:szCs w:val="31"/>
        </w:rPr>
        <w:t>理的事业单位）运行用于购买货物和服务的各项资金，包括办公费、</w:t>
      </w:r>
      <w:r>
        <w:rPr>
          <w:rFonts w:ascii="仿宋" w:hAnsi="仿宋" w:eastAsia="仿宋" w:cs="仿宋"/>
          <w:color w:val="auto"/>
          <w:spacing w:val="17"/>
          <w:sz w:val="31"/>
          <w:szCs w:val="31"/>
        </w:rPr>
        <w:t xml:space="preserve"> </w:t>
      </w:r>
      <w:r>
        <w:rPr>
          <w:rFonts w:ascii="仿宋" w:hAnsi="仿宋" w:eastAsia="仿宋" w:cs="仿宋"/>
          <w:color w:val="auto"/>
          <w:spacing w:val="10"/>
          <w:sz w:val="31"/>
          <w:szCs w:val="31"/>
        </w:rPr>
        <w:t>印刷费、邮电费、差旅费、会议费、福利费、</w:t>
      </w:r>
      <w:r>
        <w:rPr>
          <w:rFonts w:ascii="仿宋" w:hAnsi="仿宋" w:eastAsia="仿宋" w:cs="仿宋"/>
          <w:color w:val="auto"/>
          <w:spacing w:val="-51"/>
          <w:sz w:val="31"/>
          <w:szCs w:val="31"/>
        </w:rPr>
        <w:t xml:space="preserve"> </w:t>
      </w:r>
      <w:r>
        <w:rPr>
          <w:rFonts w:ascii="仿宋" w:hAnsi="仿宋" w:eastAsia="仿宋" w:cs="仿宋"/>
          <w:color w:val="auto"/>
          <w:spacing w:val="10"/>
          <w:sz w:val="31"/>
          <w:szCs w:val="31"/>
        </w:rPr>
        <w:t>日常维修费、专用材料</w:t>
      </w:r>
      <w:r>
        <w:rPr>
          <w:rFonts w:ascii="仿宋" w:hAnsi="仿宋" w:eastAsia="仿宋" w:cs="仿宋"/>
          <w:color w:val="auto"/>
          <w:sz w:val="31"/>
          <w:szCs w:val="31"/>
        </w:rPr>
        <w:t xml:space="preserve"> </w:t>
      </w:r>
      <w:r>
        <w:rPr>
          <w:rFonts w:ascii="仿宋" w:hAnsi="仿宋" w:eastAsia="仿宋" w:cs="仿宋"/>
          <w:color w:val="auto"/>
          <w:spacing w:val="13"/>
          <w:sz w:val="31"/>
          <w:szCs w:val="31"/>
        </w:rPr>
        <w:t>及一般设备购置费、办公用房水电费、办公用房取暖费、办公用房物</w:t>
      </w:r>
      <w:r>
        <w:rPr>
          <w:rFonts w:ascii="仿宋" w:hAnsi="仿宋" w:eastAsia="仿宋" w:cs="仿宋"/>
          <w:color w:val="auto"/>
          <w:spacing w:val="14"/>
          <w:sz w:val="31"/>
          <w:szCs w:val="31"/>
        </w:rPr>
        <w:t xml:space="preserve"> </w:t>
      </w:r>
      <w:r>
        <w:rPr>
          <w:rFonts w:ascii="仿宋" w:hAnsi="仿宋" w:eastAsia="仿宋" w:cs="仿宋"/>
          <w:color w:val="auto"/>
          <w:spacing w:val="8"/>
          <w:sz w:val="31"/>
          <w:szCs w:val="31"/>
        </w:rPr>
        <w:t>业管理费、公务用车运行维护费以及其他费用。</w:t>
      </w:r>
    </w:p>
    <w:p w14:paraId="55522C46">
      <w:pPr>
        <w:spacing w:before="161" w:line="356" w:lineRule="auto"/>
        <w:ind w:left="648" w:right="6096" w:firstLine="42"/>
        <w:rPr>
          <w:rFonts w:ascii="仿宋" w:hAnsi="仿宋" w:eastAsia="仿宋" w:cs="仿宋"/>
          <w:color w:val="auto"/>
          <w:sz w:val="31"/>
          <w:szCs w:val="31"/>
        </w:rPr>
      </w:pPr>
      <w:r>
        <w:rPr>
          <w:rFonts w:ascii="仿宋" w:hAnsi="仿宋" w:eastAsia="仿宋" w:cs="仿宋"/>
          <w:color w:val="auto"/>
          <w:spacing w:val="-2"/>
          <w:sz w:val="31"/>
          <w:szCs w:val="31"/>
        </w:rPr>
        <w:t>(十八)其他专用名词。</w:t>
      </w:r>
      <w:r>
        <w:rPr>
          <w:rFonts w:ascii="仿宋" w:hAnsi="仿宋" w:eastAsia="仿宋" w:cs="仿宋"/>
          <w:color w:val="auto"/>
          <w:spacing w:val="5"/>
          <w:sz w:val="31"/>
          <w:szCs w:val="31"/>
        </w:rPr>
        <w:t xml:space="preserve"> 无其他专用名词。</w:t>
      </w:r>
    </w:p>
    <w:p w14:paraId="60CA6E7C">
      <w:pPr>
        <w:spacing w:line="265" w:lineRule="auto"/>
        <w:rPr>
          <w:rFonts w:ascii="Arial"/>
          <w:color w:val="auto"/>
          <w:sz w:val="21"/>
        </w:rPr>
      </w:pPr>
    </w:p>
    <w:p w14:paraId="17597B19">
      <w:pPr>
        <w:spacing w:line="265" w:lineRule="auto"/>
        <w:rPr>
          <w:rFonts w:ascii="Arial"/>
          <w:color w:val="auto"/>
          <w:sz w:val="21"/>
        </w:rPr>
      </w:pPr>
    </w:p>
    <w:p w14:paraId="4EB5A4AC">
      <w:pPr>
        <w:pStyle w:val="2"/>
        <w:spacing w:before="101" w:line="227" w:lineRule="auto"/>
        <w:ind w:left="635"/>
        <w:rPr>
          <w:color w:val="auto"/>
        </w:rPr>
      </w:pPr>
      <w:r>
        <w:rPr>
          <w:color w:val="auto"/>
          <w:spacing w:val="2"/>
        </w:rPr>
        <w:t>第六部分</w:t>
      </w:r>
      <w:r>
        <w:rPr>
          <w:color w:val="auto"/>
          <w:spacing w:val="20"/>
        </w:rPr>
        <w:t xml:space="preserve">  </w:t>
      </w:r>
      <w:r>
        <w:rPr>
          <w:color w:val="auto"/>
          <w:spacing w:val="2"/>
        </w:rPr>
        <w:t>附件</w:t>
      </w:r>
    </w:p>
    <w:p w14:paraId="65D7C516">
      <w:pPr>
        <w:pStyle w:val="2"/>
        <w:spacing w:before="158" w:line="358" w:lineRule="auto"/>
        <w:ind w:right="162" w:firstLine="640"/>
        <w:rPr>
          <w:color w:val="auto"/>
        </w:rPr>
      </w:pPr>
      <w:r>
        <w:rPr>
          <w:color w:val="auto"/>
          <w:spacing w:val="10"/>
        </w:rPr>
        <w:t>一、202</w:t>
      </w:r>
      <w:r>
        <w:rPr>
          <w:rFonts w:hint="eastAsia"/>
          <w:color w:val="auto"/>
          <w:spacing w:val="10"/>
          <w:lang w:val="en-US" w:eastAsia="zh-CN"/>
        </w:rPr>
        <w:t>3</w:t>
      </w:r>
      <w:r>
        <w:rPr>
          <w:color w:val="auto"/>
          <w:spacing w:val="10"/>
        </w:rPr>
        <w:t>年度鄂州市自然资源和规划局鄂城分局</w:t>
      </w:r>
      <w:r>
        <w:rPr>
          <w:color w:val="auto"/>
          <w:spacing w:val="9"/>
        </w:rPr>
        <w:t>整体绩效评价报</w:t>
      </w:r>
      <w:r>
        <w:rPr>
          <w:color w:val="auto"/>
        </w:rPr>
        <w:t xml:space="preserve"> 告</w:t>
      </w:r>
    </w:p>
    <w:p w14:paraId="185D33BF">
      <w:pPr>
        <w:spacing w:before="38" w:line="188" w:lineRule="auto"/>
        <w:ind w:left="1400"/>
        <w:rPr>
          <w:rFonts w:ascii="微软雅黑" w:hAnsi="微软雅黑" w:eastAsia="微软雅黑" w:cs="微软雅黑"/>
          <w:color w:val="auto"/>
          <w:sz w:val="35"/>
          <w:szCs w:val="35"/>
        </w:rPr>
      </w:pPr>
      <w:r>
        <w:rPr>
          <w:rFonts w:ascii="微软雅黑" w:hAnsi="微软雅黑" w:eastAsia="微软雅黑" w:cs="微软雅黑"/>
          <w:color w:val="auto"/>
          <w:spacing w:val="7"/>
          <w:sz w:val="35"/>
          <w:szCs w:val="35"/>
        </w:rPr>
        <w:t>202</w:t>
      </w:r>
      <w:r>
        <w:rPr>
          <w:rFonts w:hint="eastAsia" w:ascii="微软雅黑" w:hAnsi="微软雅黑" w:eastAsia="微软雅黑" w:cs="微软雅黑"/>
          <w:color w:val="auto"/>
          <w:spacing w:val="7"/>
          <w:sz w:val="35"/>
          <w:szCs w:val="35"/>
          <w:lang w:val="en-US" w:eastAsia="zh-CN"/>
        </w:rPr>
        <w:t>3</w:t>
      </w:r>
      <w:r>
        <w:rPr>
          <w:rFonts w:ascii="微软雅黑" w:hAnsi="微软雅黑" w:eastAsia="微软雅黑" w:cs="微软雅黑"/>
          <w:color w:val="auto"/>
          <w:spacing w:val="7"/>
          <w:sz w:val="35"/>
          <w:szCs w:val="35"/>
        </w:rPr>
        <w:t xml:space="preserve"> 年度鄂州市自然资源和规划分局鄂城分局</w:t>
      </w:r>
    </w:p>
    <w:p w14:paraId="2565F9BF">
      <w:pPr>
        <w:spacing w:line="188" w:lineRule="auto"/>
        <w:rPr>
          <w:rFonts w:ascii="微软雅黑" w:hAnsi="微软雅黑" w:eastAsia="微软雅黑" w:cs="微软雅黑"/>
          <w:color w:val="auto"/>
          <w:sz w:val="35"/>
          <w:szCs w:val="35"/>
        </w:rPr>
        <w:sectPr>
          <w:footerReference r:id="rId12" w:type="default"/>
          <w:pgSz w:w="11906" w:h="16839"/>
          <w:pgMar w:top="549" w:right="1280" w:bottom="1156" w:left="754" w:header="0" w:footer="994" w:gutter="0"/>
          <w:pgBorders>
            <w:top w:val="none" w:sz="0" w:space="0"/>
            <w:left w:val="none" w:sz="0" w:space="0"/>
            <w:bottom w:val="none" w:sz="0" w:space="0"/>
            <w:right w:val="none" w:sz="0" w:space="0"/>
          </w:pgBorders>
          <w:cols w:space="720" w:num="1"/>
        </w:sectPr>
      </w:pPr>
    </w:p>
    <w:p w14:paraId="7EA6A7ED">
      <w:pPr>
        <w:spacing w:before="71" w:line="187" w:lineRule="auto"/>
        <w:ind w:left="3053"/>
        <w:outlineLvl w:val="0"/>
        <w:rPr>
          <w:rFonts w:ascii="微软雅黑" w:hAnsi="微软雅黑" w:eastAsia="微软雅黑" w:cs="微软雅黑"/>
          <w:color w:val="auto"/>
          <w:sz w:val="35"/>
          <w:szCs w:val="35"/>
        </w:rPr>
      </w:pPr>
      <w:r>
        <w:rPr>
          <w:rFonts w:ascii="微软雅黑" w:hAnsi="微软雅黑" w:eastAsia="微软雅黑" w:cs="微软雅黑"/>
          <w:color w:val="auto"/>
          <w:spacing w:val="9"/>
          <w:sz w:val="35"/>
          <w:szCs w:val="35"/>
        </w:rPr>
        <w:t>部门整体绩效自评结果</w:t>
      </w:r>
    </w:p>
    <w:p w14:paraId="34A2D920">
      <w:pPr>
        <w:spacing w:before="171" w:line="222" w:lineRule="auto"/>
        <w:ind w:left="605"/>
        <w:outlineLvl w:val="0"/>
        <w:rPr>
          <w:rFonts w:ascii="仿宋" w:hAnsi="仿宋" w:eastAsia="仿宋" w:cs="仿宋"/>
          <w:color w:val="auto"/>
          <w:sz w:val="30"/>
          <w:szCs w:val="30"/>
        </w:rPr>
      </w:pPr>
      <w:r>
        <w:rPr>
          <w:rFonts w:ascii="仿宋" w:hAnsi="仿宋" w:eastAsia="仿宋" w:cs="仿宋"/>
          <w:color w:val="auto"/>
          <w:spacing w:val="-17"/>
          <w:sz w:val="30"/>
          <w:szCs w:val="30"/>
        </w:rPr>
        <w:t>一、</w:t>
      </w:r>
      <w:r>
        <w:rPr>
          <w:rFonts w:ascii="仿宋" w:hAnsi="仿宋" w:eastAsia="仿宋" w:cs="仿宋"/>
          <w:color w:val="auto"/>
          <w:spacing w:val="-74"/>
          <w:sz w:val="30"/>
          <w:szCs w:val="30"/>
        </w:rPr>
        <w:t xml:space="preserve"> </w:t>
      </w:r>
      <w:r>
        <w:rPr>
          <w:rFonts w:ascii="仿宋" w:hAnsi="仿宋" w:eastAsia="仿宋" w:cs="仿宋"/>
          <w:color w:val="auto"/>
          <w:spacing w:val="-17"/>
          <w:sz w:val="30"/>
          <w:szCs w:val="30"/>
        </w:rPr>
        <w:t>自评结论</w:t>
      </w:r>
    </w:p>
    <w:p w14:paraId="343E9663">
      <w:pPr>
        <w:spacing w:before="262" w:line="222" w:lineRule="auto"/>
        <w:ind w:left="605"/>
        <w:outlineLvl w:val="1"/>
        <w:rPr>
          <w:rFonts w:ascii="仿宋" w:hAnsi="仿宋" w:eastAsia="仿宋" w:cs="仿宋"/>
          <w:color w:val="auto"/>
          <w:sz w:val="30"/>
          <w:szCs w:val="30"/>
        </w:rPr>
      </w:pPr>
      <w:r>
        <w:rPr>
          <w:rFonts w:ascii="仿宋" w:hAnsi="仿宋" w:eastAsia="仿宋" w:cs="仿宋"/>
          <w:color w:val="auto"/>
          <w:spacing w:val="-2"/>
          <w:sz w:val="30"/>
          <w:szCs w:val="30"/>
        </w:rPr>
        <w:t>（一）部门整体绩效自评得分</w:t>
      </w:r>
    </w:p>
    <w:p w14:paraId="1ABC7D4B">
      <w:pPr>
        <w:spacing w:before="263" w:line="221" w:lineRule="auto"/>
        <w:ind w:left="11"/>
        <w:rPr>
          <w:rFonts w:ascii="仿宋" w:hAnsi="仿宋" w:eastAsia="仿宋" w:cs="仿宋"/>
          <w:color w:val="auto"/>
          <w:sz w:val="30"/>
          <w:szCs w:val="30"/>
        </w:rPr>
      </w:pPr>
      <w:r>
        <w:rPr>
          <w:rFonts w:ascii="仿宋" w:hAnsi="仿宋" w:eastAsia="仿宋" w:cs="仿宋"/>
          <w:color w:val="auto"/>
          <w:spacing w:val="-6"/>
          <w:sz w:val="30"/>
          <w:szCs w:val="30"/>
        </w:rPr>
        <w:t>我单位</w:t>
      </w:r>
      <w:r>
        <w:rPr>
          <w:rFonts w:ascii="仿宋" w:hAnsi="仿宋" w:eastAsia="仿宋" w:cs="仿宋"/>
          <w:color w:val="auto"/>
          <w:spacing w:val="-46"/>
          <w:sz w:val="30"/>
          <w:szCs w:val="30"/>
        </w:rPr>
        <w:t xml:space="preserve"> </w:t>
      </w:r>
      <w:r>
        <w:rPr>
          <w:rFonts w:ascii="仿宋" w:hAnsi="仿宋" w:eastAsia="仿宋" w:cs="仿宋"/>
          <w:color w:val="auto"/>
          <w:spacing w:val="-6"/>
          <w:sz w:val="30"/>
          <w:szCs w:val="30"/>
        </w:rPr>
        <w:t>202</w:t>
      </w:r>
      <w:r>
        <w:rPr>
          <w:rFonts w:hint="eastAsia" w:ascii="仿宋" w:hAnsi="仿宋" w:eastAsia="仿宋" w:cs="仿宋"/>
          <w:color w:val="auto"/>
          <w:spacing w:val="-6"/>
          <w:sz w:val="30"/>
          <w:szCs w:val="30"/>
          <w:lang w:val="en-US" w:eastAsia="zh-CN"/>
        </w:rPr>
        <w:t>3</w:t>
      </w:r>
      <w:r>
        <w:rPr>
          <w:rFonts w:ascii="仿宋" w:hAnsi="仿宋" w:eastAsia="仿宋" w:cs="仿宋"/>
          <w:color w:val="auto"/>
          <w:spacing w:val="-6"/>
          <w:sz w:val="30"/>
          <w:szCs w:val="30"/>
        </w:rPr>
        <w:t>年整体绩效自评较好，</w:t>
      </w:r>
      <w:r>
        <w:rPr>
          <w:rFonts w:ascii="仿宋" w:hAnsi="仿宋" w:eastAsia="仿宋" w:cs="仿宋"/>
          <w:color w:val="auto"/>
          <w:spacing w:val="-73"/>
          <w:sz w:val="30"/>
          <w:szCs w:val="30"/>
        </w:rPr>
        <w:t xml:space="preserve"> </w:t>
      </w:r>
      <w:r>
        <w:rPr>
          <w:rFonts w:ascii="仿宋" w:hAnsi="仿宋" w:eastAsia="仿宋" w:cs="仿宋"/>
          <w:color w:val="auto"/>
          <w:spacing w:val="-6"/>
          <w:sz w:val="30"/>
          <w:szCs w:val="30"/>
        </w:rPr>
        <w:t>自评分数总计为 93.5</w:t>
      </w:r>
      <w:r>
        <w:rPr>
          <w:rFonts w:ascii="仿宋" w:hAnsi="仿宋" w:eastAsia="仿宋" w:cs="仿宋"/>
          <w:color w:val="auto"/>
          <w:spacing w:val="-54"/>
          <w:sz w:val="30"/>
          <w:szCs w:val="30"/>
        </w:rPr>
        <w:t xml:space="preserve"> </w:t>
      </w:r>
      <w:r>
        <w:rPr>
          <w:rFonts w:ascii="仿宋" w:hAnsi="仿宋" w:eastAsia="仿宋" w:cs="仿宋"/>
          <w:color w:val="auto"/>
          <w:spacing w:val="-6"/>
          <w:sz w:val="30"/>
          <w:szCs w:val="30"/>
        </w:rPr>
        <w:t>分。</w:t>
      </w:r>
    </w:p>
    <w:p w14:paraId="253D091D">
      <w:pPr>
        <w:spacing w:before="263" w:line="369" w:lineRule="auto"/>
        <w:ind w:left="612" w:right="4749" w:hanging="127"/>
        <w:rPr>
          <w:rFonts w:ascii="仿宋" w:hAnsi="仿宋" w:eastAsia="仿宋" w:cs="仿宋"/>
          <w:color w:val="auto"/>
          <w:sz w:val="30"/>
          <w:szCs w:val="30"/>
        </w:rPr>
      </w:pPr>
      <w:r>
        <w:rPr>
          <w:rFonts w:ascii="仿宋" w:hAnsi="仿宋" w:eastAsia="仿宋" w:cs="仿宋"/>
          <w:color w:val="auto"/>
          <w:spacing w:val="-2"/>
          <w:sz w:val="30"/>
          <w:szCs w:val="30"/>
        </w:rPr>
        <w:t>（二）部门整体绩效目标完成情况</w:t>
      </w:r>
      <w:r>
        <w:rPr>
          <w:rFonts w:ascii="仿宋" w:hAnsi="仿宋" w:eastAsia="仿宋" w:cs="仿宋"/>
          <w:color w:val="auto"/>
          <w:spacing w:val="4"/>
          <w:sz w:val="30"/>
          <w:szCs w:val="30"/>
        </w:rPr>
        <w:t xml:space="preserve"> </w:t>
      </w:r>
      <w:r>
        <w:rPr>
          <w:rFonts w:ascii="仿宋" w:hAnsi="仿宋" w:eastAsia="仿宋" w:cs="仿宋"/>
          <w:color w:val="auto"/>
          <w:spacing w:val="-5"/>
          <w:sz w:val="30"/>
          <w:szCs w:val="30"/>
        </w:rPr>
        <w:t>1.执行率情况。</w:t>
      </w:r>
    </w:p>
    <w:p w14:paraId="3BB19B8C">
      <w:pPr>
        <w:spacing w:before="50" w:line="373" w:lineRule="auto"/>
        <w:ind w:left="31" w:right="55" w:firstLine="563"/>
        <w:rPr>
          <w:rFonts w:ascii="仿宋" w:hAnsi="仿宋" w:eastAsia="仿宋" w:cs="仿宋"/>
          <w:color w:val="auto"/>
          <w:sz w:val="30"/>
          <w:szCs w:val="30"/>
        </w:rPr>
      </w:pPr>
      <w:r>
        <w:rPr>
          <w:rFonts w:hint="eastAsia" w:ascii="仿宋" w:hAnsi="仿宋" w:eastAsia="仿宋" w:cs="仿宋"/>
          <w:color w:val="auto"/>
          <w:spacing w:val="-3"/>
          <w:sz w:val="30"/>
          <w:szCs w:val="30"/>
        </w:rPr>
        <w:t>我单位2023年度预算数为2199.56万元，执行数为2093.08万元万元，执行率达95%。</w:t>
      </w:r>
    </w:p>
    <w:p w14:paraId="50082CFF">
      <w:pPr>
        <w:spacing w:before="54" w:line="222" w:lineRule="auto"/>
        <w:ind w:left="595"/>
        <w:rPr>
          <w:rFonts w:ascii="仿宋" w:hAnsi="仿宋" w:eastAsia="仿宋" w:cs="仿宋"/>
          <w:color w:val="auto"/>
          <w:sz w:val="30"/>
          <w:szCs w:val="30"/>
        </w:rPr>
      </w:pPr>
      <w:r>
        <w:rPr>
          <w:rFonts w:ascii="仿宋" w:hAnsi="仿宋" w:eastAsia="仿宋" w:cs="仿宋"/>
          <w:color w:val="auto"/>
          <w:spacing w:val="-2"/>
          <w:sz w:val="30"/>
          <w:szCs w:val="30"/>
        </w:rPr>
        <w:t>2.完成的绩效目标。</w:t>
      </w:r>
    </w:p>
    <w:p w14:paraId="688629E4">
      <w:pPr>
        <w:spacing w:before="259" w:line="381" w:lineRule="auto"/>
        <w:ind w:firstLine="602"/>
        <w:rPr>
          <w:rFonts w:ascii="仿宋" w:hAnsi="仿宋" w:eastAsia="仿宋" w:cs="仿宋"/>
          <w:color w:val="auto"/>
          <w:sz w:val="30"/>
          <w:szCs w:val="30"/>
        </w:rPr>
      </w:pPr>
      <w:r>
        <w:rPr>
          <w:rFonts w:ascii="仿宋" w:hAnsi="仿宋" w:eastAsia="仿宋" w:cs="仿宋"/>
          <w:color w:val="auto"/>
          <w:spacing w:val="-3"/>
          <w:sz w:val="30"/>
          <w:szCs w:val="30"/>
        </w:rPr>
        <w:t>根据</w:t>
      </w:r>
      <w:r>
        <w:rPr>
          <w:rFonts w:ascii="仿宋" w:hAnsi="仿宋" w:eastAsia="仿宋" w:cs="仿宋"/>
          <w:color w:val="auto"/>
          <w:spacing w:val="-48"/>
          <w:sz w:val="30"/>
          <w:szCs w:val="30"/>
        </w:rPr>
        <w:t xml:space="preserve"> </w:t>
      </w:r>
      <w:r>
        <w:rPr>
          <w:rFonts w:ascii="仿宋" w:hAnsi="仿宋" w:eastAsia="仿宋" w:cs="仿宋"/>
          <w:color w:val="auto"/>
          <w:spacing w:val="-3"/>
          <w:sz w:val="30"/>
          <w:szCs w:val="30"/>
        </w:rPr>
        <w:t>202</w:t>
      </w:r>
      <w:r>
        <w:rPr>
          <w:rFonts w:hint="eastAsia" w:ascii="仿宋" w:hAnsi="仿宋" w:eastAsia="仿宋" w:cs="仿宋"/>
          <w:color w:val="auto"/>
          <w:spacing w:val="-3"/>
          <w:sz w:val="30"/>
          <w:szCs w:val="30"/>
          <w:lang w:val="en-US" w:eastAsia="zh-CN"/>
        </w:rPr>
        <w:t>3</w:t>
      </w:r>
      <w:r>
        <w:rPr>
          <w:rFonts w:ascii="仿宋" w:hAnsi="仿宋" w:eastAsia="仿宋" w:cs="仿宋"/>
          <w:color w:val="auto"/>
          <w:spacing w:val="-3"/>
          <w:sz w:val="30"/>
          <w:szCs w:val="30"/>
        </w:rPr>
        <w:t>年度自然资源和规划管理工作工作要求，我单位积极开展秋</w:t>
      </w:r>
      <w:r>
        <w:rPr>
          <w:rFonts w:ascii="仿宋" w:hAnsi="仿宋" w:eastAsia="仿宋" w:cs="仿宋"/>
          <w:color w:val="auto"/>
          <w:sz w:val="30"/>
          <w:szCs w:val="30"/>
        </w:rPr>
        <w:t xml:space="preserve"> </w:t>
      </w:r>
      <w:r>
        <w:rPr>
          <w:rFonts w:ascii="仿宋" w:hAnsi="仿宋" w:eastAsia="仿宋" w:cs="仿宋"/>
          <w:color w:val="auto"/>
          <w:spacing w:val="-3"/>
          <w:sz w:val="30"/>
          <w:szCs w:val="30"/>
        </w:rPr>
        <w:t>季普查松材线虫病疫情普查、林改减征“</w:t>
      </w:r>
      <w:r>
        <w:rPr>
          <w:rFonts w:ascii="仿宋" w:hAnsi="仿宋" w:eastAsia="仿宋" w:cs="仿宋"/>
          <w:color w:val="auto"/>
          <w:spacing w:val="-114"/>
          <w:sz w:val="30"/>
          <w:szCs w:val="30"/>
        </w:rPr>
        <w:t xml:space="preserve"> </w:t>
      </w:r>
      <w:r>
        <w:rPr>
          <w:rFonts w:ascii="仿宋" w:hAnsi="仿宋" w:eastAsia="仿宋" w:cs="仿宋"/>
          <w:color w:val="auto"/>
          <w:spacing w:val="-3"/>
          <w:sz w:val="30"/>
          <w:szCs w:val="30"/>
        </w:rPr>
        <w:t>两金</w:t>
      </w:r>
      <w:r>
        <w:rPr>
          <w:rFonts w:ascii="仿宋" w:hAnsi="仿宋" w:eastAsia="仿宋" w:cs="仿宋"/>
          <w:color w:val="auto"/>
          <w:spacing w:val="-110"/>
          <w:sz w:val="30"/>
          <w:szCs w:val="30"/>
        </w:rPr>
        <w:t xml:space="preserve"> </w:t>
      </w:r>
      <w:r>
        <w:rPr>
          <w:rFonts w:ascii="仿宋" w:hAnsi="仿宋" w:eastAsia="仿宋" w:cs="仿宋"/>
          <w:color w:val="auto"/>
          <w:spacing w:val="-3"/>
          <w:sz w:val="30"/>
          <w:szCs w:val="30"/>
        </w:rPr>
        <w:t>”、农村乱占耕地建房清查</w:t>
      </w:r>
      <w:r>
        <w:rPr>
          <w:rFonts w:ascii="仿宋" w:hAnsi="仿宋" w:eastAsia="仿宋" w:cs="仿宋"/>
          <w:color w:val="auto"/>
          <w:sz w:val="30"/>
          <w:szCs w:val="30"/>
        </w:rPr>
        <w:t xml:space="preserve"> </w:t>
      </w:r>
      <w:r>
        <w:rPr>
          <w:rFonts w:ascii="仿宋" w:hAnsi="仿宋" w:eastAsia="仿宋" w:cs="仿宋"/>
          <w:color w:val="auto"/>
          <w:spacing w:val="-7"/>
          <w:sz w:val="30"/>
          <w:szCs w:val="30"/>
        </w:rPr>
        <w:t>和别墅“</w:t>
      </w:r>
      <w:r>
        <w:rPr>
          <w:rFonts w:ascii="仿宋" w:hAnsi="仿宋" w:eastAsia="仿宋" w:cs="仿宋"/>
          <w:color w:val="auto"/>
          <w:spacing w:val="-77"/>
          <w:sz w:val="30"/>
          <w:szCs w:val="30"/>
        </w:rPr>
        <w:t xml:space="preserve"> </w:t>
      </w:r>
      <w:r>
        <w:rPr>
          <w:rFonts w:ascii="仿宋" w:hAnsi="仿宋" w:eastAsia="仿宋" w:cs="仿宋"/>
          <w:color w:val="auto"/>
          <w:spacing w:val="-7"/>
          <w:sz w:val="30"/>
          <w:szCs w:val="30"/>
        </w:rPr>
        <w:t>回头看</w:t>
      </w:r>
      <w:r>
        <w:rPr>
          <w:rFonts w:ascii="仿宋" w:hAnsi="仿宋" w:eastAsia="仿宋" w:cs="仿宋"/>
          <w:color w:val="auto"/>
          <w:spacing w:val="-110"/>
          <w:sz w:val="30"/>
          <w:szCs w:val="30"/>
        </w:rPr>
        <w:t xml:space="preserve"> </w:t>
      </w:r>
      <w:r>
        <w:rPr>
          <w:rFonts w:ascii="仿宋" w:hAnsi="仿宋" w:eastAsia="仿宋" w:cs="仿宋"/>
          <w:color w:val="auto"/>
          <w:spacing w:val="-7"/>
          <w:sz w:val="30"/>
          <w:szCs w:val="30"/>
        </w:rPr>
        <w:t>”清理、不动产中心招聘“</w:t>
      </w:r>
      <w:r>
        <w:rPr>
          <w:rFonts w:ascii="仿宋" w:hAnsi="仿宋" w:eastAsia="仿宋" w:cs="仿宋"/>
          <w:color w:val="auto"/>
          <w:spacing w:val="-99"/>
          <w:sz w:val="30"/>
          <w:szCs w:val="30"/>
        </w:rPr>
        <w:t xml:space="preserve"> </w:t>
      </w:r>
      <w:r>
        <w:rPr>
          <w:rFonts w:ascii="仿宋" w:hAnsi="仿宋" w:eastAsia="仿宋" w:cs="仿宋"/>
          <w:color w:val="auto"/>
          <w:spacing w:val="-7"/>
          <w:sz w:val="30"/>
          <w:szCs w:val="30"/>
        </w:rPr>
        <w:t>以钱养事</w:t>
      </w:r>
      <w:r>
        <w:rPr>
          <w:rFonts w:ascii="仿宋" w:hAnsi="仿宋" w:eastAsia="仿宋" w:cs="仿宋"/>
          <w:color w:val="auto"/>
          <w:spacing w:val="-110"/>
          <w:sz w:val="30"/>
          <w:szCs w:val="30"/>
        </w:rPr>
        <w:t xml:space="preserve"> </w:t>
      </w:r>
      <w:r>
        <w:rPr>
          <w:rFonts w:ascii="仿宋" w:hAnsi="仿宋" w:eastAsia="仿宋" w:cs="仿宋"/>
          <w:color w:val="auto"/>
          <w:spacing w:val="-7"/>
          <w:sz w:val="30"/>
          <w:szCs w:val="30"/>
        </w:rPr>
        <w:t>”人员考务工作、鄂</w:t>
      </w:r>
      <w:r>
        <w:rPr>
          <w:rFonts w:ascii="仿宋" w:hAnsi="仿宋" w:eastAsia="仿宋" w:cs="仿宋"/>
          <w:color w:val="auto"/>
          <w:sz w:val="30"/>
          <w:szCs w:val="30"/>
        </w:rPr>
        <w:t xml:space="preserve"> </w:t>
      </w:r>
      <w:r>
        <w:rPr>
          <w:rFonts w:ascii="仿宋" w:hAnsi="仿宋" w:eastAsia="仿宋" w:cs="仿宋"/>
          <w:color w:val="auto"/>
          <w:spacing w:val="-1"/>
          <w:sz w:val="30"/>
          <w:szCs w:val="30"/>
        </w:rPr>
        <w:t>州国际农产品电商交易中心地形图绘制、土地出让挂牌公告及土地使用权</w:t>
      </w:r>
      <w:r>
        <w:rPr>
          <w:rFonts w:ascii="仿宋" w:hAnsi="仿宋" w:eastAsia="仿宋" w:cs="仿宋"/>
          <w:color w:val="auto"/>
          <w:spacing w:val="12"/>
          <w:sz w:val="30"/>
          <w:szCs w:val="30"/>
        </w:rPr>
        <w:t xml:space="preserve"> </w:t>
      </w:r>
      <w:r>
        <w:rPr>
          <w:rFonts w:ascii="仿宋" w:hAnsi="仿宋" w:eastAsia="仿宋" w:cs="仿宋"/>
          <w:color w:val="auto"/>
          <w:spacing w:val="-1"/>
          <w:sz w:val="30"/>
          <w:szCs w:val="30"/>
        </w:rPr>
        <w:t>价格评估、资源和规划局基本工作保障等年度自然资源和规划管理工作任</w:t>
      </w:r>
      <w:r>
        <w:rPr>
          <w:rFonts w:ascii="仿宋" w:hAnsi="仿宋" w:eastAsia="仿宋" w:cs="仿宋"/>
          <w:color w:val="auto"/>
          <w:spacing w:val="12"/>
          <w:sz w:val="30"/>
          <w:szCs w:val="30"/>
        </w:rPr>
        <w:t xml:space="preserve"> </w:t>
      </w:r>
      <w:r>
        <w:rPr>
          <w:rFonts w:ascii="仿宋" w:hAnsi="仿宋" w:eastAsia="仿宋" w:cs="仿宋"/>
          <w:color w:val="auto"/>
          <w:spacing w:val="-2"/>
          <w:sz w:val="30"/>
          <w:szCs w:val="30"/>
        </w:rPr>
        <w:t>务。根据项目实施方案，年度绩效目标设置了产出、效益和满意度</w:t>
      </w:r>
      <w:r>
        <w:rPr>
          <w:rFonts w:ascii="仿宋" w:hAnsi="仿宋" w:eastAsia="仿宋" w:cs="仿宋"/>
          <w:color w:val="auto"/>
          <w:spacing w:val="-53"/>
          <w:sz w:val="30"/>
          <w:szCs w:val="30"/>
        </w:rPr>
        <w:t xml:space="preserve"> </w:t>
      </w:r>
      <w:r>
        <w:rPr>
          <w:rFonts w:ascii="仿宋" w:hAnsi="仿宋" w:eastAsia="仿宋" w:cs="仿宋"/>
          <w:color w:val="auto"/>
          <w:spacing w:val="-2"/>
          <w:sz w:val="30"/>
          <w:szCs w:val="30"/>
        </w:rPr>
        <w:t>3</w:t>
      </w:r>
      <w:r>
        <w:rPr>
          <w:rFonts w:ascii="仿宋" w:hAnsi="仿宋" w:eastAsia="仿宋" w:cs="仿宋"/>
          <w:color w:val="auto"/>
          <w:spacing w:val="-53"/>
          <w:sz w:val="30"/>
          <w:szCs w:val="30"/>
        </w:rPr>
        <w:t xml:space="preserve"> </w:t>
      </w:r>
      <w:r>
        <w:rPr>
          <w:rFonts w:ascii="仿宋" w:hAnsi="仿宋" w:eastAsia="仿宋" w:cs="仿宋"/>
          <w:color w:val="auto"/>
          <w:spacing w:val="-2"/>
          <w:sz w:val="30"/>
          <w:szCs w:val="30"/>
        </w:rPr>
        <w:t>个一</w:t>
      </w:r>
      <w:r>
        <w:rPr>
          <w:rFonts w:ascii="仿宋" w:hAnsi="仿宋" w:eastAsia="仿宋" w:cs="仿宋"/>
          <w:color w:val="auto"/>
          <w:sz w:val="30"/>
          <w:szCs w:val="30"/>
        </w:rPr>
        <w:t xml:space="preserve"> </w:t>
      </w:r>
      <w:r>
        <w:rPr>
          <w:rFonts w:ascii="仿宋" w:hAnsi="仿宋" w:eastAsia="仿宋" w:cs="仿宋"/>
          <w:color w:val="auto"/>
          <w:spacing w:val="-1"/>
          <w:sz w:val="30"/>
          <w:szCs w:val="30"/>
        </w:rPr>
        <w:t>级指标，分别对应设置了二级指标，详细明确了各指标值，并针对每个指</w:t>
      </w:r>
      <w:r>
        <w:rPr>
          <w:rFonts w:ascii="仿宋" w:hAnsi="仿宋" w:eastAsia="仿宋" w:cs="仿宋"/>
          <w:color w:val="auto"/>
          <w:spacing w:val="12"/>
          <w:sz w:val="30"/>
          <w:szCs w:val="30"/>
        </w:rPr>
        <w:t xml:space="preserve"> </w:t>
      </w:r>
      <w:r>
        <w:rPr>
          <w:rFonts w:ascii="仿宋" w:hAnsi="仿宋" w:eastAsia="仿宋" w:cs="仿宋"/>
          <w:color w:val="auto"/>
          <w:spacing w:val="-1"/>
          <w:sz w:val="30"/>
          <w:szCs w:val="30"/>
        </w:rPr>
        <w:t>标确定了可作为评价依据的绩效标准,202</w:t>
      </w:r>
      <w:r>
        <w:rPr>
          <w:rFonts w:hint="eastAsia" w:ascii="仿宋" w:hAnsi="仿宋" w:eastAsia="仿宋" w:cs="仿宋"/>
          <w:color w:val="auto"/>
          <w:spacing w:val="-1"/>
          <w:sz w:val="30"/>
          <w:szCs w:val="30"/>
          <w:lang w:val="en-US" w:eastAsia="zh-CN"/>
        </w:rPr>
        <w:t>3</w:t>
      </w:r>
      <w:r>
        <w:rPr>
          <w:rFonts w:ascii="仿宋" w:hAnsi="仿宋" w:eastAsia="仿宋" w:cs="仿宋"/>
          <w:color w:val="auto"/>
          <w:spacing w:val="-49"/>
          <w:sz w:val="30"/>
          <w:szCs w:val="30"/>
        </w:rPr>
        <w:t xml:space="preserve"> </w:t>
      </w:r>
      <w:r>
        <w:rPr>
          <w:rFonts w:ascii="仿宋" w:hAnsi="仿宋" w:eastAsia="仿宋" w:cs="仿宋"/>
          <w:color w:val="auto"/>
          <w:spacing w:val="-1"/>
          <w:sz w:val="30"/>
          <w:szCs w:val="30"/>
        </w:rPr>
        <w:t>年</w:t>
      </w:r>
      <w:r>
        <w:rPr>
          <w:rFonts w:ascii="仿宋" w:hAnsi="仿宋" w:eastAsia="仿宋" w:cs="仿宋"/>
          <w:color w:val="auto"/>
          <w:spacing w:val="-2"/>
          <w:sz w:val="30"/>
          <w:szCs w:val="30"/>
        </w:rPr>
        <w:t>度我单位已开展的项目绩效</w:t>
      </w:r>
      <w:r>
        <w:rPr>
          <w:rFonts w:ascii="仿宋" w:hAnsi="仿宋" w:eastAsia="仿宋" w:cs="仿宋"/>
          <w:color w:val="auto"/>
          <w:sz w:val="30"/>
          <w:szCs w:val="30"/>
        </w:rPr>
        <w:t xml:space="preserve">  </w:t>
      </w:r>
      <w:r>
        <w:rPr>
          <w:rFonts w:ascii="仿宋" w:hAnsi="仿宋" w:eastAsia="仿宋" w:cs="仿宋"/>
          <w:color w:val="auto"/>
          <w:spacing w:val="-3"/>
          <w:sz w:val="30"/>
          <w:szCs w:val="30"/>
        </w:rPr>
        <w:t>目标均已完成。</w:t>
      </w:r>
    </w:p>
    <w:p w14:paraId="3344FF7C">
      <w:pPr>
        <w:spacing w:before="47" w:line="305" w:lineRule="auto"/>
        <w:ind w:left="603" w:right="5814" w:hanging="6"/>
        <w:rPr>
          <w:rFonts w:ascii="仿宋" w:hAnsi="仿宋" w:eastAsia="仿宋" w:cs="仿宋"/>
          <w:color w:val="auto"/>
          <w:sz w:val="30"/>
          <w:szCs w:val="30"/>
        </w:rPr>
      </w:pPr>
      <w:r>
        <w:rPr>
          <w:rFonts w:ascii="仿宋" w:hAnsi="仿宋" w:eastAsia="仿宋" w:cs="仿宋"/>
          <w:color w:val="auto"/>
          <w:spacing w:val="-8"/>
          <w:sz w:val="30"/>
          <w:szCs w:val="30"/>
        </w:rPr>
        <w:t>3.</w:t>
      </w:r>
      <w:r>
        <w:rPr>
          <w:rFonts w:ascii="仿宋" w:hAnsi="仿宋" w:eastAsia="仿宋" w:cs="仿宋"/>
          <w:color w:val="auto"/>
          <w:spacing w:val="42"/>
          <w:sz w:val="30"/>
          <w:szCs w:val="30"/>
        </w:rPr>
        <w:t xml:space="preserve">  </w:t>
      </w:r>
      <w:r>
        <w:rPr>
          <w:rFonts w:ascii="仿宋" w:hAnsi="仿宋" w:eastAsia="仿宋" w:cs="仿宋"/>
          <w:color w:val="auto"/>
          <w:spacing w:val="-8"/>
          <w:sz w:val="30"/>
          <w:szCs w:val="30"/>
        </w:rPr>
        <w:t>未完成的绩效目标。</w:t>
      </w:r>
      <w:r>
        <w:rPr>
          <w:rFonts w:ascii="仿宋" w:hAnsi="仿宋" w:eastAsia="仿宋" w:cs="仿宋"/>
          <w:color w:val="auto"/>
          <w:spacing w:val="1"/>
          <w:sz w:val="30"/>
          <w:szCs w:val="30"/>
        </w:rPr>
        <w:t xml:space="preserve"> </w:t>
      </w:r>
      <w:r>
        <w:rPr>
          <w:rFonts w:ascii="仿宋" w:hAnsi="仿宋" w:eastAsia="仿宋" w:cs="仿宋"/>
          <w:color w:val="auto"/>
          <w:sz w:val="30"/>
          <w:szCs w:val="30"/>
        </w:rPr>
        <w:t>无</w:t>
      </w:r>
    </w:p>
    <w:p w14:paraId="14F6AFF8">
      <w:pPr>
        <w:spacing w:before="258" w:line="219" w:lineRule="auto"/>
        <w:ind w:left="605"/>
        <w:outlineLvl w:val="1"/>
        <w:rPr>
          <w:rFonts w:ascii="仿宋" w:hAnsi="仿宋" w:eastAsia="仿宋" w:cs="仿宋"/>
          <w:color w:val="auto"/>
          <w:sz w:val="30"/>
          <w:szCs w:val="30"/>
        </w:rPr>
      </w:pPr>
      <w:r>
        <w:rPr>
          <w:rFonts w:ascii="仿宋" w:hAnsi="仿宋" w:eastAsia="仿宋" w:cs="仿宋"/>
          <w:color w:val="auto"/>
          <w:spacing w:val="-3"/>
          <w:sz w:val="30"/>
          <w:szCs w:val="30"/>
        </w:rPr>
        <w:t>（三）存在的问题和原因</w:t>
      </w:r>
    </w:p>
    <w:p w14:paraId="317C2EF2">
      <w:pPr>
        <w:spacing w:before="267" w:line="369" w:lineRule="auto"/>
        <w:ind w:right="129" w:firstLine="603"/>
        <w:rPr>
          <w:rFonts w:ascii="仿宋" w:hAnsi="仿宋" w:eastAsia="仿宋" w:cs="仿宋"/>
          <w:color w:val="auto"/>
          <w:sz w:val="30"/>
          <w:szCs w:val="30"/>
        </w:rPr>
      </w:pPr>
      <w:r>
        <w:rPr>
          <w:rFonts w:ascii="仿宋" w:hAnsi="仿宋" w:eastAsia="仿宋" w:cs="仿宋"/>
          <w:color w:val="auto"/>
          <w:spacing w:val="-1"/>
          <w:sz w:val="30"/>
          <w:szCs w:val="30"/>
        </w:rPr>
        <w:t>土地市场受疫情的影响后劲不足，企业拿地观望情绪较重，致使本年</w:t>
      </w:r>
      <w:r>
        <w:rPr>
          <w:rFonts w:ascii="仿宋" w:hAnsi="仿宋" w:eastAsia="仿宋" w:cs="仿宋"/>
          <w:color w:val="auto"/>
          <w:spacing w:val="5"/>
          <w:sz w:val="30"/>
          <w:szCs w:val="30"/>
        </w:rPr>
        <w:t xml:space="preserve"> </w:t>
      </w:r>
      <w:r>
        <w:rPr>
          <w:rFonts w:ascii="仿宋" w:hAnsi="仿宋" w:eastAsia="仿宋" w:cs="仿宋"/>
          <w:color w:val="auto"/>
          <w:spacing w:val="-1"/>
          <w:sz w:val="30"/>
          <w:szCs w:val="30"/>
        </w:rPr>
        <w:t>度出现土地市场流拍现象的发生；企业对优化营商环境的要求越来越高，</w:t>
      </w:r>
    </w:p>
    <w:p w14:paraId="32620C5B">
      <w:pPr>
        <w:spacing w:line="369" w:lineRule="auto"/>
        <w:rPr>
          <w:rFonts w:ascii="仿宋" w:hAnsi="仿宋" w:eastAsia="仿宋" w:cs="仿宋"/>
          <w:color w:val="auto"/>
          <w:sz w:val="30"/>
          <w:szCs w:val="30"/>
        </w:rPr>
        <w:sectPr>
          <w:footerReference r:id="rId13" w:type="default"/>
          <w:pgSz w:w="11906" w:h="16839"/>
          <w:pgMar w:top="643" w:right="1439" w:bottom="1156" w:left="755" w:header="0" w:footer="994" w:gutter="0"/>
          <w:pgBorders>
            <w:top w:val="none" w:sz="0" w:space="0"/>
            <w:left w:val="none" w:sz="0" w:space="0"/>
            <w:bottom w:val="none" w:sz="0" w:space="0"/>
            <w:right w:val="none" w:sz="0" w:space="0"/>
          </w:pgBorders>
          <w:cols w:space="720" w:num="1"/>
        </w:sectPr>
      </w:pPr>
    </w:p>
    <w:p w14:paraId="24C26DF0">
      <w:pPr>
        <w:spacing w:before="63" w:line="379" w:lineRule="auto"/>
        <w:ind w:left="2" w:right="159"/>
        <w:rPr>
          <w:rFonts w:ascii="仿宋" w:hAnsi="仿宋" w:eastAsia="仿宋" w:cs="仿宋"/>
          <w:color w:val="auto"/>
          <w:sz w:val="30"/>
          <w:szCs w:val="30"/>
        </w:rPr>
      </w:pPr>
      <w:r>
        <w:rPr>
          <w:rFonts w:ascii="仿宋" w:hAnsi="仿宋" w:eastAsia="仿宋" w:cs="仿宋"/>
          <w:color w:val="auto"/>
          <w:spacing w:val="-1"/>
          <w:sz w:val="30"/>
          <w:szCs w:val="30"/>
        </w:rPr>
        <w:t>服务对象满意度有待提升；202</w:t>
      </w:r>
      <w:r>
        <w:rPr>
          <w:rFonts w:hint="eastAsia" w:ascii="仿宋" w:hAnsi="仿宋" w:eastAsia="仿宋" w:cs="仿宋"/>
          <w:color w:val="auto"/>
          <w:spacing w:val="-1"/>
          <w:sz w:val="30"/>
          <w:szCs w:val="30"/>
          <w:lang w:val="en-US" w:eastAsia="zh-CN"/>
        </w:rPr>
        <w:t>3</w:t>
      </w:r>
      <w:r>
        <w:rPr>
          <w:rFonts w:ascii="仿宋" w:hAnsi="仿宋" w:eastAsia="仿宋" w:cs="仿宋"/>
          <w:color w:val="auto"/>
          <w:spacing w:val="-51"/>
          <w:sz w:val="30"/>
          <w:szCs w:val="30"/>
        </w:rPr>
        <w:t xml:space="preserve"> </w:t>
      </w:r>
      <w:r>
        <w:rPr>
          <w:rFonts w:ascii="仿宋" w:hAnsi="仿宋" w:eastAsia="仿宋" w:cs="仿宋"/>
          <w:color w:val="auto"/>
          <w:spacing w:val="-1"/>
          <w:sz w:val="30"/>
          <w:szCs w:val="30"/>
        </w:rPr>
        <w:t>年干旱少雨，导</w:t>
      </w:r>
      <w:r>
        <w:rPr>
          <w:rFonts w:ascii="仿宋" w:hAnsi="仿宋" w:eastAsia="仿宋" w:cs="仿宋"/>
          <w:color w:val="auto"/>
          <w:spacing w:val="-2"/>
          <w:sz w:val="30"/>
          <w:szCs w:val="30"/>
        </w:rPr>
        <w:t>致松树病、枯死树数量比</w:t>
      </w:r>
      <w:r>
        <w:rPr>
          <w:rFonts w:ascii="仿宋" w:hAnsi="仿宋" w:eastAsia="仿宋" w:cs="仿宋"/>
          <w:color w:val="auto"/>
          <w:sz w:val="30"/>
          <w:szCs w:val="30"/>
        </w:rPr>
        <w:t xml:space="preserve"> </w:t>
      </w:r>
      <w:r>
        <w:rPr>
          <w:rFonts w:ascii="仿宋" w:hAnsi="仿宋" w:eastAsia="仿宋" w:cs="仿宋"/>
          <w:color w:val="auto"/>
          <w:spacing w:val="1"/>
          <w:sz w:val="30"/>
          <w:szCs w:val="30"/>
        </w:rPr>
        <w:t>上年有所增加。主要林业有害生物成灾率没有完</w:t>
      </w:r>
      <w:r>
        <w:rPr>
          <w:rFonts w:ascii="仿宋" w:hAnsi="仿宋" w:eastAsia="仿宋" w:cs="仿宋"/>
          <w:color w:val="auto"/>
          <w:sz w:val="30"/>
          <w:szCs w:val="30"/>
        </w:rPr>
        <w:t xml:space="preserve">成年初目标值（松树病、 </w:t>
      </w:r>
      <w:r>
        <w:rPr>
          <w:rFonts w:ascii="仿宋" w:hAnsi="仿宋" w:eastAsia="仿宋" w:cs="仿宋"/>
          <w:color w:val="auto"/>
          <w:spacing w:val="-1"/>
          <w:sz w:val="30"/>
          <w:szCs w:val="30"/>
        </w:rPr>
        <w:t>枯死树数量比上年有所增加）。森林资源违法行为没有及时发现，森林资</w:t>
      </w:r>
      <w:r>
        <w:rPr>
          <w:rFonts w:ascii="仿宋" w:hAnsi="仿宋" w:eastAsia="仿宋" w:cs="仿宋"/>
          <w:color w:val="auto"/>
          <w:spacing w:val="11"/>
          <w:sz w:val="30"/>
          <w:szCs w:val="30"/>
        </w:rPr>
        <w:t xml:space="preserve"> </w:t>
      </w:r>
      <w:r>
        <w:rPr>
          <w:rFonts w:ascii="仿宋" w:hAnsi="仿宋" w:eastAsia="仿宋" w:cs="仿宋"/>
          <w:color w:val="auto"/>
          <w:spacing w:val="-1"/>
          <w:sz w:val="30"/>
          <w:szCs w:val="30"/>
        </w:rPr>
        <w:t>源违法案件查处难。森林资源管理管理体制没理顺，基层林业站管理人员</w:t>
      </w:r>
      <w:r>
        <w:rPr>
          <w:rFonts w:ascii="仿宋" w:hAnsi="仿宋" w:eastAsia="仿宋" w:cs="仿宋"/>
          <w:color w:val="auto"/>
          <w:spacing w:val="11"/>
          <w:sz w:val="30"/>
          <w:szCs w:val="30"/>
        </w:rPr>
        <w:t xml:space="preserve"> </w:t>
      </w:r>
      <w:r>
        <w:rPr>
          <w:rFonts w:ascii="仿宋" w:hAnsi="仿宋" w:eastAsia="仿宋" w:cs="仿宋"/>
          <w:color w:val="auto"/>
          <w:spacing w:val="-3"/>
          <w:sz w:val="30"/>
          <w:szCs w:val="30"/>
        </w:rPr>
        <w:t>在机构改革中整合到其他工作岗位，森林资源管理岗位</w:t>
      </w:r>
      <w:r>
        <w:rPr>
          <w:rFonts w:ascii="仿宋" w:hAnsi="仿宋" w:eastAsia="仿宋" w:cs="仿宋"/>
          <w:color w:val="auto"/>
          <w:spacing w:val="-4"/>
          <w:sz w:val="30"/>
          <w:szCs w:val="30"/>
        </w:rPr>
        <w:t>人员少，日常巡查</w:t>
      </w:r>
      <w:r>
        <w:rPr>
          <w:rFonts w:ascii="仿宋" w:hAnsi="仿宋" w:eastAsia="仿宋" w:cs="仿宋"/>
          <w:color w:val="auto"/>
          <w:sz w:val="30"/>
          <w:szCs w:val="30"/>
        </w:rPr>
        <w:t xml:space="preserve"> </w:t>
      </w:r>
      <w:r>
        <w:rPr>
          <w:rFonts w:ascii="仿宋" w:hAnsi="仿宋" w:eastAsia="仿宋" w:cs="仿宋"/>
          <w:color w:val="auto"/>
          <w:spacing w:val="-3"/>
          <w:sz w:val="30"/>
          <w:szCs w:val="30"/>
        </w:rPr>
        <w:t>力度不够全面。</w:t>
      </w:r>
    </w:p>
    <w:p w14:paraId="15507BD2">
      <w:pPr>
        <w:keepNext w:val="0"/>
        <w:keepLines w:val="0"/>
        <w:pageBreakBefore w:val="0"/>
        <w:wordWrap/>
        <w:overflowPunct/>
        <w:topLinePunct w:val="0"/>
        <w:bidi w:val="0"/>
        <w:spacing w:before="47" w:line="360" w:lineRule="auto"/>
        <w:ind w:left="608"/>
        <w:rPr>
          <w:rFonts w:ascii="仿宋" w:hAnsi="仿宋" w:eastAsia="仿宋" w:cs="仿宋"/>
          <w:color w:val="auto"/>
          <w:sz w:val="30"/>
          <w:szCs w:val="30"/>
        </w:rPr>
      </w:pPr>
      <w:r>
        <w:rPr>
          <w:rFonts w:ascii="仿宋" w:hAnsi="仿宋" w:eastAsia="仿宋" w:cs="仿宋"/>
          <w:color w:val="auto"/>
          <w:spacing w:val="-3"/>
          <w:sz w:val="30"/>
          <w:szCs w:val="30"/>
        </w:rPr>
        <w:t>（四）下一步拟改进措施</w:t>
      </w:r>
    </w:p>
    <w:p w14:paraId="5DC05FB9">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1、通过自评，及时发现问题，及时整改，保障项目按时、按质、按量完成绩效目标。</w:t>
      </w:r>
    </w:p>
    <w:p w14:paraId="5A5B78B4">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2、参考上年度预算执行情况和本年度收支预测，制订科学合理的预算标准，将预算支出项目细化。</w:t>
      </w:r>
    </w:p>
    <w:p w14:paraId="351851FE">
      <w:pPr>
        <w:keepNext w:val="0"/>
        <w:keepLines w:val="0"/>
        <w:pageBreakBefore w:val="0"/>
        <w:widowControl/>
        <w:kinsoku w:val="0"/>
        <w:wordWrap/>
        <w:overflowPunct/>
        <w:topLinePunct w:val="0"/>
        <w:autoSpaceDE w:val="0"/>
        <w:autoSpaceDN w:val="0"/>
        <w:bidi w:val="0"/>
        <w:adjustRightInd w:val="0"/>
        <w:snapToGrid w:val="0"/>
        <w:spacing w:before="48" w:line="360" w:lineRule="auto"/>
        <w:ind w:left="12" w:leftChars="0" w:firstLine="598" w:firstLineChars="187"/>
        <w:textAlignment w:val="baseline"/>
        <w:outlineLvl w:val="0"/>
        <w:rPr>
          <w:rFonts w:ascii="仿宋" w:hAnsi="仿宋" w:eastAsia="仿宋" w:cs="仿宋"/>
          <w:color w:val="auto"/>
          <w:sz w:val="30"/>
          <w:szCs w:val="30"/>
        </w:rPr>
      </w:pPr>
      <w:r>
        <w:rPr>
          <w:rFonts w:hint="eastAsia" w:ascii="仿宋_GB2312" w:eastAsia="仿宋_GB2312" w:cs="仿宋_GB2312"/>
          <w:sz w:val="32"/>
          <w:szCs w:val="32"/>
          <w:lang w:val="en-US" w:eastAsia="zh-CN"/>
        </w:rPr>
        <w:t>3、夯实资产资金管理基础，摸清资产家底，以最大限度利用好现有资产。</w:t>
      </w:r>
      <w:r>
        <w:rPr>
          <w:rFonts w:ascii="仿宋" w:hAnsi="仿宋" w:eastAsia="仿宋" w:cs="仿宋"/>
          <w:color w:val="auto"/>
          <w:spacing w:val="-5"/>
          <w:sz w:val="30"/>
          <w:szCs w:val="30"/>
        </w:rPr>
        <w:t>二、佐证材料</w:t>
      </w:r>
    </w:p>
    <w:p w14:paraId="57604592">
      <w:pPr>
        <w:spacing w:before="266" w:line="222" w:lineRule="auto"/>
        <w:ind w:left="608"/>
        <w:outlineLvl w:val="1"/>
        <w:rPr>
          <w:rFonts w:ascii="仿宋" w:hAnsi="仿宋" w:eastAsia="仿宋" w:cs="仿宋"/>
          <w:color w:val="auto"/>
          <w:sz w:val="30"/>
          <w:szCs w:val="30"/>
        </w:rPr>
      </w:pPr>
      <w:r>
        <w:rPr>
          <w:rFonts w:ascii="仿宋" w:hAnsi="仿宋" w:eastAsia="仿宋" w:cs="仿宋"/>
          <w:color w:val="auto"/>
          <w:spacing w:val="-4"/>
          <w:sz w:val="30"/>
          <w:szCs w:val="30"/>
        </w:rPr>
        <w:t>（一）基本情况</w:t>
      </w:r>
    </w:p>
    <w:p w14:paraId="054CEE5B">
      <w:pPr>
        <w:spacing w:before="262" w:line="221" w:lineRule="auto"/>
        <w:ind w:left="616"/>
        <w:rPr>
          <w:rFonts w:ascii="仿宋" w:hAnsi="仿宋" w:eastAsia="仿宋" w:cs="仿宋"/>
          <w:color w:val="auto"/>
          <w:sz w:val="30"/>
          <w:szCs w:val="30"/>
        </w:rPr>
      </w:pPr>
      <w:r>
        <w:rPr>
          <w:rFonts w:ascii="仿宋" w:hAnsi="仿宋" w:eastAsia="仿宋" w:cs="仿宋"/>
          <w:color w:val="auto"/>
          <w:spacing w:val="-3"/>
          <w:sz w:val="30"/>
          <w:szCs w:val="30"/>
        </w:rPr>
        <w:t>1.简要概述部门支出情况</w:t>
      </w:r>
    </w:p>
    <w:p w14:paraId="08639C4C">
      <w:pPr>
        <w:keepNext w:val="0"/>
        <w:keepLines w:val="0"/>
        <w:pageBreakBefore w:val="0"/>
        <w:widowControl/>
        <w:kinsoku w:val="0"/>
        <w:wordWrap/>
        <w:overflowPunct/>
        <w:topLinePunct w:val="0"/>
        <w:autoSpaceDE w:val="0"/>
        <w:autoSpaceDN w:val="0"/>
        <w:bidi w:val="0"/>
        <w:adjustRightInd w:val="0"/>
        <w:snapToGrid w:val="0"/>
        <w:spacing w:before="265" w:line="360" w:lineRule="auto"/>
        <w:ind w:left="0" w:leftChars="0" w:firstLine="637" w:firstLineChars="217"/>
        <w:textAlignment w:val="baseline"/>
        <w:rPr>
          <w:rFonts w:ascii="仿宋" w:hAnsi="仿宋" w:eastAsia="仿宋" w:cs="仿宋"/>
          <w:color w:val="auto"/>
          <w:sz w:val="30"/>
          <w:szCs w:val="30"/>
        </w:rPr>
      </w:pPr>
      <w:r>
        <w:rPr>
          <w:rFonts w:ascii="仿宋" w:hAnsi="仿宋" w:eastAsia="仿宋" w:cs="仿宋"/>
          <w:color w:val="auto"/>
          <w:spacing w:val="-3"/>
          <w:sz w:val="30"/>
          <w:szCs w:val="30"/>
        </w:rPr>
        <w:t>202</w:t>
      </w:r>
      <w:r>
        <w:rPr>
          <w:rFonts w:hint="eastAsia" w:ascii="仿宋" w:hAnsi="仿宋" w:eastAsia="仿宋" w:cs="仿宋"/>
          <w:color w:val="auto"/>
          <w:spacing w:val="-3"/>
          <w:sz w:val="30"/>
          <w:szCs w:val="30"/>
          <w:lang w:val="en-US" w:eastAsia="zh-CN"/>
        </w:rPr>
        <w:t>3</w:t>
      </w:r>
      <w:r>
        <w:rPr>
          <w:rFonts w:ascii="仿宋" w:hAnsi="仿宋" w:eastAsia="仿宋" w:cs="仿宋"/>
          <w:color w:val="auto"/>
          <w:spacing w:val="-51"/>
          <w:sz w:val="30"/>
          <w:szCs w:val="30"/>
        </w:rPr>
        <w:t xml:space="preserve"> </w:t>
      </w:r>
      <w:r>
        <w:rPr>
          <w:rFonts w:ascii="仿宋" w:hAnsi="仿宋" w:eastAsia="仿宋" w:cs="仿宋"/>
          <w:color w:val="auto"/>
          <w:spacing w:val="-3"/>
          <w:sz w:val="30"/>
          <w:szCs w:val="30"/>
        </w:rPr>
        <w:t>年度我单位共支出资</w:t>
      </w:r>
      <w:r>
        <w:rPr>
          <w:rFonts w:ascii="仿宋" w:hAnsi="仿宋" w:eastAsia="仿宋" w:cs="仿宋"/>
          <w:color w:val="auto"/>
          <w:spacing w:val="-4"/>
          <w:sz w:val="30"/>
          <w:szCs w:val="30"/>
        </w:rPr>
        <w:t>金</w:t>
      </w:r>
      <w:r>
        <w:rPr>
          <w:rFonts w:hint="eastAsia" w:ascii="仿宋" w:hAnsi="仿宋" w:eastAsia="仿宋" w:cs="仿宋"/>
          <w:color w:val="auto"/>
          <w:spacing w:val="-4"/>
          <w:sz w:val="30"/>
          <w:szCs w:val="30"/>
          <w:lang w:val="en-US" w:eastAsia="zh-CN"/>
        </w:rPr>
        <w:t>2093.08</w:t>
      </w:r>
      <w:r>
        <w:rPr>
          <w:rFonts w:ascii="仿宋" w:hAnsi="仿宋" w:eastAsia="仿宋" w:cs="仿宋"/>
          <w:color w:val="auto"/>
          <w:spacing w:val="-4"/>
          <w:sz w:val="30"/>
          <w:szCs w:val="30"/>
        </w:rPr>
        <w:t>万元，其中基本支出</w:t>
      </w:r>
      <w:r>
        <w:rPr>
          <w:rFonts w:ascii="仿宋" w:hAnsi="仿宋" w:eastAsia="仿宋" w:cs="仿宋"/>
          <w:color w:val="auto"/>
          <w:spacing w:val="-40"/>
          <w:sz w:val="30"/>
          <w:szCs w:val="30"/>
        </w:rPr>
        <w:t xml:space="preserve"> </w:t>
      </w:r>
      <w:r>
        <w:rPr>
          <w:rFonts w:hint="eastAsia" w:ascii="仿宋" w:hAnsi="仿宋" w:eastAsia="仿宋" w:cs="仿宋"/>
          <w:color w:val="auto"/>
          <w:spacing w:val="-4"/>
          <w:sz w:val="30"/>
          <w:szCs w:val="30"/>
          <w:lang w:val="en-US" w:eastAsia="zh-CN"/>
        </w:rPr>
        <w:t>1580.5</w:t>
      </w:r>
      <w:r>
        <w:rPr>
          <w:rFonts w:ascii="仿宋" w:hAnsi="仿宋" w:eastAsia="仿宋" w:cs="仿宋"/>
          <w:color w:val="auto"/>
          <w:spacing w:val="-4"/>
          <w:sz w:val="30"/>
          <w:szCs w:val="30"/>
        </w:rPr>
        <w:t>万</w:t>
      </w:r>
      <w:r>
        <w:rPr>
          <w:rFonts w:ascii="仿宋" w:hAnsi="仿宋" w:eastAsia="仿宋" w:cs="仿宋"/>
          <w:color w:val="auto"/>
          <w:spacing w:val="-3"/>
          <w:sz w:val="30"/>
          <w:szCs w:val="30"/>
        </w:rPr>
        <w:t>元，项目支出合计为</w:t>
      </w:r>
      <w:r>
        <w:rPr>
          <w:rFonts w:ascii="仿宋" w:hAnsi="仿宋" w:eastAsia="仿宋" w:cs="仿宋"/>
          <w:color w:val="auto"/>
          <w:spacing w:val="-39"/>
          <w:sz w:val="30"/>
          <w:szCs w:val="30"/>
        </w:rPr>
        <w:t xml:space="preserve"> </w:t>
      </w:r>
      <w:r>
        <w:rPr>
          <w:rFonts w:hint="eastAsia" w:ascii="仿宋" w:hAnsi="仿宋" w:eastAsia="仿宋" w:cs="仿宋"/>
          <w:color w:val="auto"/>
          <w:spacing w:val="-3"/>
          <w:sz w:val="30"/>
          <w:szCs w:val="30"/>
          <w:lang w:val="en-US" w:eastAsia="zh-CN"/>
        </w:rPr>
        <w:t>512.59万</w:t>
      </w:r>
      <w:r>
        <w:rPr>
          <w:rFonts w:ascii="仿宋" w:hAnsi="仿宋" w:eastAsia="仿宋" w:cs="仿宋"/>
          <w:color w:val="auto"/>
          <w:spacing w:val="-3"/>
          <w:sz w:val="30"/>
          <w:szCs w:val="30"/>
        </w:rPr>
        <w:t>元（不含林业有害生物防治工作财政直达乡镇</w:t>
      </w:r>
      <w:r>
        <w:rPr>
          <w:rFonts w:ascii="仿宋" w:hAnsi="仿宋" w:eastAsia="仿宋" w:cs="仿宋"/>
          <w:color w:val="auto"/>
          <w:sz w:val="30"/>
          <w:szCs w:val="30"/>
        </w:rPr>
        <w:t xml:space="preserve"> </w:t>
      </w:r>
      <w:r>
        <w:rPr>
          <w:rFonts w:ascii="仿宋" w:hAnsi="仿宋" w:eastAsia="仿宋" w:cs="仿宋"/>
          <w:color w:val="auto"/>
          <w:spacing w:val="-7"/>
          <w:sz w:val="30"/>
          <w:szCs w:val="30"/>
        </w:rPr>
        <w:t>资金</w:t>
      </w:r>
      <w:r>
        <w:rPr>
          <w:rFonts w:ascii="仿宋" w:hAnsi="仿宋" w:eastAsia="仿宋" w:cs="仿宋"/>
          <w:color w:val="auto"/>
          <w:spacing w:val="16"/>
          <w:sz w:val="30"/>
          <w:szCs w:val="30"/>
        </w:rPr>
        <w:t>），</w:t>
      </w:r>
      <w:r>
        <w:rPr>
          <w:rFonts w:ascii="仿宋" w:hAnsi="仿宋" w:eastAsia="仿宋" w:cs="仿宋"/>
          <w:color w:val="auto"/>
          <w:spacing w:val="-7"/>
          <w:sz w:val="30"/>
          <w:szCs w:val="30"/>
        </w:rPr>
        <w:t>全部为财政资金。</w:t>
      </w:r>
    </w:p>
    <w:p w14:paraId="60D74A79">
      <w:pPr>
        <w:keepNext w:val="0"/>
        <w:keepLines w:val="0"/>
        <w:pageBreakBefore w:val="0"/>
        <w:widowControl/>
        <w:kinsoku w:val="0"/>
        <w:wordWrap/>
        <w:overflowPunct/>
        <w:topLinePunct w:val="0"/>
        <w:autoSpaceDE w:val="0"/>
        <w:autoSpaceDN w:val="0"/>
        <w:bidi w:val="0"/>
        <w:adjustRightInd w:val="0"/>
        <w:snapToGrid w:val="0"/>
        <w:spacing w:before="47" w:line="360" w:lineRule="auto"/>
        <w:ind w:left="595"/>
        <w:textAlignment w:val="baseline"/>
        <w:rPr>
          <w:rFonts w:ascii="仿宋" w:hAnsi="仿宋" w:eastAsia="仿宋" w:cs="仿宋"/>
          <w:color w:val="auto"/>
          <w:sz w:val="30"/>
          <w:szCs w:val="30"/>
        </w:rPr>
      </w:pPr>
      <w:r>
        <w:rPr>
          <w:rFonts w:ascii="仿宋" w:hAnsi="仿宋" w:eastAsia="仿宋" w:cs="仿宋"/>
          <w:color w:val="auto"/>
          <w:spacing w:val="-1"/>
          <w:sz w:val="30"/>
          <w:szCs w:val="30"/>
        </w:rPr>
        <w:t>2.简要概述年度部门整体绩效目标。</w:t>
      </w:r>
    </w:p>
    <w:p w14:paraId="6650E4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adjustRightInd w:val="0"/>
        <w:snapToGrid w:val="0"/>
        <w:spacing w:before="0" w:beforeAutospacing="0" w:after="0" w:afterAutospacing="0" w:line="360" w:lineRule="auto"/>
        <w:ind w:left="0" w:right="0" w:firstLine="42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竭力做好</w:t>
      </w:r>
      <w:r>
        <w:rPr>
          <w:rFonts w:hint="eastAsia" w:ascii="仿宋" w:hAnsi="仿宋" w:eastAsia="仿宋" w:cs="仿宋"/>
          <w:i w:val="0"/>
          <w:iCs w:val="0"/>
          <w:caps w:val="0"/>
          <w:color w:val="auto"/>
          <w:spacing w:val="0"/>
          <w:sz w:val="32"/>
          <w:szCs w:val="32"/>
          <w:shd w:val="clear" w:fill="FFFFFF"/>
          <w:lang w:eastAsia="zh-CN"/>
        </w:rPr>
        <w:t>用地</w:t>
      </w:r>
      <w:r>
        <w:rPr>
          <w:rFonts w:hint="eastAsia" w:ascii="仿宋" w:hAnsi="仿宋" w:eastAsia="仿宋" w:cs="仿宋"/>
          <w:i w:val="0"/>
          <w:iCs w:val="0"/>
          <w:caps w:val="0"/>
          <w:color w:val="auto"/>
          <w:spacing w:val="0"/>
          <w:sz w:val="32"/>
          <w:szCs w:val="32"/>
          <w:shd w:val="clear" w:fill="FFFFFF"/>
        </w:rPr>
        <w:t>保障，服务项目落地与产业发展。一是持续优化用地审批服务；二是加快完善土地供应机制；三是加强节约集约用地；四是深化“最多跑一次”改革、优化营商环境。</w:t>
      </w:r>
    </w:p>
    <w:p w14:paraId="2C2CA1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adjustRightInd w:val="0"/>
        <w:snapToGrid w:val="0"/>
        <w:spacing w:before="0" w:beforeAutospacing="0" w:after="0" w:afterAutospacing="0" w:line="360" w:lineRule="auto"/>
        <w:ind w:left="0" w:right="0" w:firstLine="42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全</w:t>
      </w:r>
      <w:r>
        <w:rPr>
          <w:rFonts w:hint="eastAsia" w:ascii="仿宋" w:hAnsi="仿宋" w:eastAsia="仿宋" w:cs="仿宋"/>
          <w:i w:val="0"/>
          <w:iCs w:val="0"/>
          <w:caps w:val="0"/>
          <w:color w:val="auto"/>
          <w:spacing w:val="0"/>
          <w:sz w:val="32"/>
          <w:szCs w:val="32"/>
          <w:shd w:val="clear" w:fill="FFFFFF"/>
        </w:rPr>
        <w:t>力编制好规划，推进城市建设与品质提升。一是全面推进国土全空间规划编制；二是大力推进村庄规划编制工作；三是建立完善规划管控体系。</w:t>
      </w:r>
    </w:p>
    <w:p w14:paraId="13245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adjustRightInd w:val="0"/>
        <w:snapToGrid w:val="0"/>
        <w:spacing w:before="0" w:beforeAutospacing="0" w:after="0" w:afterAutospacing="0" w:line="360" w:lineRule="auto"/>
        <w:ind w:left="0" w:right="0" w:firstLine="420"/>
        <w:jc w:val="both"/>
        <w:textAlignment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努力加强资源管控，严守绿色发展底线。一是强化耕地保护；二是加强自然资源执法保障体系建设；三是强化“三调”成果运用；四是稳妥推进农村乱占耕地建房问题整治。</w:t>
      </w:r>
    </w:p>
    <w:p w14:paraId="377DAD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adjustRightInd w:val="0"/>
        <w:snapToGrid w:val="0"/>
        <w:spacing w:before="0" w:beforeAutospacing="0" w:after="0" w:afterAutospacing="0" w:line="360" w:lineRule="auto"/>
        <w:ind w:left="0" w:right="0" w:firstLine="42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尽力强化民生保障，增进惠民利民益民。一是强化地质灾害防治；二是推进矿业转型发展；三是加强生态保护修复；四是巩固脱贫攻坚成果，助推乡村振兴；</w:t>
      </w:r>
    </w:p>
    <w:p w14:paraId="4F9CE2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adjustRightInd w:val="0"/>
        <w:snapToGrid w:val="0"/>
        <w:spacing w:before="0" w:beforeAutospacing="0" w:after="0" w:afterAutospacing="0" w:line="360" w:lineRule="auto"/>
        <w:ind w:left="0" w:right="0" w:firstLine="42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着力提升基础效能，筑牢事业发展根基。一是切实加强信息化建设；二是切实加强法治建设；三是切实加强信访工作；四是切实加强基础工作。</w:t>
      </w:r>
    </w:p>
    <w:p w14:paraId="3AB8B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adjustRightInd w:val="0"/>
        <w:snapToGrid w:val="0"/>
        <w:spacing w:before="0" w:beforeAutospacing="0" w:after="0" w:afterAutospacing="0" w:line="360" w:lineRule="auto"/>
        <w:ind w:left="0" w:right="0" w:firstLine="420"/>
        <w:jc w:val="both"/>
        <w:textAlignment w:val="center"/>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致力突出政治引领，提升党建工作实效。一是坚定正确政治方向；二是持续深化作风建设；三是抓牢抓实廉政建设。</w:t>
      </w:r>
    </w:p>
    <w:p w14:paraId="40663D8D">
      <w:pPr>
        <w:keepNext w:val="0"/>
        <w:keepLines w:val="0"/>
        <w:pageBreakBefore w:val="0"/>
        <w:wordWrap/>
        <w:overflowPunct/>
        <w:topLinePunct w:val="0"/>
        <w:bidi w:val="0"/>
        <w:adjustRightInd w:val="0"/>
        <w:snapToGrid w:val="0"/>
        <w:spacing w:before="52" w:line="360" w:lineRule="auto"/>
        <w:ind w:left="605"/>
        <w:textAlignment w:val="baseline"/>
        <w:outlineLvl w:val="1"/>
        <w:rPr>
          <w:rFonts w:ascii="仿宋" w:hAnsi="仿宋" w:eastAsia="仿宋" w:cs="仿宋"/>
          <w:color w:val="auto"/>
          <w:sz w:val="30"/>
          <w:szCs w:val="30"/>
        </w:rPr>
      </w:pPr>
      <w:r>
        <w:rPr>
          <w:rFonts w:ascii="仿宋" w:hAnsi="仿宋" w:eastAsia="仿宋" w:cs="仿宋"/>
          <w:color w:val="auto"/>
          <w:spacing w:val="-2"/>
          <w:sz w:val="30"/>
          <w:szCs w:val="30"/>
        </w:rPr>
        <w:t>（二）部门自评工作开展情况</w:t>
      </w:r>
    </w:p>
    <w:p w14:paraId="66385ABD">
      <w:pPr>
        <w:keepNext w:val="0"/>
        <w:keepLines w:val="0"/>
        <w:pageBreakBefore w:val="0"/>
        <w:widowControl w:val="0"/>
        <w:shd w:val="clear"/>
        <w:kinsoku/>
        <w:wordWrap/>
        <w:overflowPunct/>
        <w:topLinePunct w:val="0"/>
        <w:autoSpaceDE/>
        <w:autoSpaceDN/>
        <w:bidi w:val="0"/>
        <w:adjustRightInd w:val="0"/>
        <w:snapToGrid w:val="0"/>
        <w:spacing w:line="360" w:lineRule="auto"/>
        <w:ind w:firstLine="640" w:firstLineChars="200"/>
        <w:jc w:val="left"/>
        <w:textAlignment w:val="baseline"/>
        <w:rPr>
          <w:rFonts w:hint="eastAsia" w:ascii="仿宋_GB2312" w:hAnsi="仿宋" w:eastAsia="仿宋_GB2312" w:cs="仿宋_GB2312"/>
          <w:sz w:val="32"/>
          <w:szCs w:val="32"/>
          <w:lang w:val="en-US" w:eastAsia="zh-CN"/>
        </w:rPr>
      </w:pPr>
      <w:r>
        <w:rPr>
          <w:rFonts w:hint="eastAsia" w:ascii="Times New Roman" w:hAnsi="Times New Roman" w:eastAsia="仿宋" w:cs="Times New Roman"/>
          <w:color w:val="auto"/>
          <w:sz w:val="32"/>
          <w:szCs w:val="32"/>
          <w:highlight w:val="none"/>
          <w:lang w:val="en-US" w:eastAsia="zh-CN"/>
        </w:rPr>
        <w:t>1、我</w:t>
      </w:r>
      <w:r>
        <w:rPr>
          <w:rFonts w:hint="eastAsia" w:ascii="仿宋_GB2312" w:hAnsi="仿宋" w:eastAsia="仿宋_GB2312" w:cs="仿宋_GB2312"/>
          <w:sz w:val="32"/>
          <w:szCs w:val="32"/>
          <w:lang w:val="en-US" w:eastAsia="zh-CN"/>
        </w:rPr>
        <w:t>单位严格按照2023年度项目绩效自评工作的要求，安排部署预算绩效评价工作，明确一名专人负责此项工作，组织、协调和督促落实此项工作，推进绩效管理工作健康有序开展，规范工作内容，确保绩效评价工作有章可循，有序开展。 自评工作围绕我局预算资金管理开展，严格把控预算资金收支，将预算收支全面纳入绩效管理，在单位内逐步树立预算绩效管理理念，不断提高财政资金使用效益。</w:t>
      </w:r>
    </w:p>
    <w:p w14:paraId="478021A6">
      <w:pPr>
        <w:keepNext w:val="0"/>
        <w:keepLines w:val="0"/>
        <w:pageBreakBefore w:val="0"/>
        <w:widowControl w:val="0"/>
        <w:shd w:val="clear"/>
        <w:kinsoku/>
        <w:wordWrap/>
        <w:overflowPunct/>
        <w:topLinePunct w:val="0"/>
        <w:autoSpaceDE/>
        <w:autoSpaceDN/>
        <w:bidi w:val="0"/>
        <w:adjustRightInd w:val="0"/>
        <w:snapToGrid w:val="0"/>
        <w:spacing w:line="360" w:lineRule="auto"/>
        <w:ind w:firstLine="640" w:firstLineChars="200"/>
        <w:jc w:val="left"/>
        <w:textAlignment w:val="baseline"/>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2、我单位2023年自评项目4个，项目预算总金额512.59元万元，评价工作以部门单位自评为主，由各项目负责人对部门单位绩效工作进行督察、复审。经过汇审后，将部门整体绩效评价报告上报区财政局。</w:t>
      </w:r>
    </w:p>
    <w:p w14:paraId="7B5D79E2">
      <w:pPr>
        <w:keepNext w:val="0"/>
        <w:keepLines w:val="0"/>
        <w:pageBreakBefore w:val="0"/>
        <w:wordWrap/>
        <w:overflowPunct/>
        <w:topLinePunct w:val="0"/>
        <w:bidi w:val="0"/>
        <w:adjustRightInd w:val="0"/>
        <w:snapToGrid w:val="0"/>
        <w:spacing w:before="52" w:line="360" w:lineRule="auto"/>
        <w:ind w:left="605"/>
        <w:textAlignment w:val="baseline"/>
        <w:outlineLvl w:val="1"/>
        <w:rPr>
          <w:rFonts w:ascii="仿宋" w:hAnsi="仿宋" w:eastAsia="仿宋" w:cs="仿宋"/>
          <w:color w:val="auto"/>
          <w:spacing w:val="-2"/>
          <w:sz w:val="30"/>
          <w:szCs w:val="30"/>
        </w:rPr>
      </w:pPr>
      <w:r>
        <w:rPr>
          <w:rFonts w:ascii="仿宋" w:hAnsi="仿宋" w:eastAsia="仿宋" w:cs="仿宋"/>
          <w:color w:val="auto"/>
          <w:spacing w:val="-2"/>
          <w:sz w:val="30"/>
          <w:szCs w:val="30"/>
        </w:rPr>
        <w:t>（三）绩效目标完成情况分析</w:t>
      </w:r>
    </w:p>
    <w:p w14:paraId="6D4530E8">
      <w:pPr>
        <w:keepNext w:val="0"/>
        <w:keepLines w:val="0"/>
        <w:pageBreakBefore w:val="0"/>
        <w:wordWrap/>
        <w:overflowPunct/>
        <w:topLinePunct w:val="0"/>
        <w:bidi w:val="0"/>
        <w:adjustRightInd w:val="0"/>
        <w:snapToGrid w:val="0"/>
        <w:spacing w:before="52" w:line="360" w:lineRule="auto"/>
        <w:ind w:left="605"/>
        <w:textAlignment w:val="baseline"/>
        <w:outlineLvl w:val="1"/>
        <w:rPr>
          <w:rFonts w:ascii="仿宋" w:hAnsi="仿宋" w:eastAsia="仿宋" w:cs="仿宋"/>
          <w:color w:val="auto"/>
          <w:spacing w:val="-2"/>
          <w:sz w:val="30"/>
          <w:szCs w:val="30"/>
        </w:rPr>
      </w:pPr>
      <w:r>
        <w:rPr>
          <w:rFonts w:ascii="仿宋" w:hAnsi="仿宋" w:eastAsia="仿宋" w:cs="仿宋"/>
          <w:color w:val="auto"/>
          <w:spacing w:val="-2"/>
          <w:sz w:val="30"/>
          <w:szCs w:val="30"/>
        </w:rPr>
        <w:t xml:space="preserve"> 1.预算执行情况分析</w:t>
      </w:r>
    </w:p>
    <w:p w14:paraId="0E0B4F79">
      <w:pPr>
        <w:keepNext w:val="0"/>
        <w:keepLines w:val="0"/>
        <w:pageBreakBefore w:val="0"/>
        <w:wordWrap/>
        <w:overflowPunct/>
        <w:topLinePunct w:val="0"/>
        <w:bidi w:val="0"/>
        <w:adjustRightInd w:val="0"/>
        <w:snapToGrid w:val="0"/>
        <w:spacing w:before="52" w:line="360" w:lineRule="auto"/>
        <w:ind w:left="5" w:leftChars="0" w:firstLine="597" w:firstLineChars="202"/>
        <w:jc w:val="both"/>
        <w:textAlignment w:val="baseline"/>
        <w:outlineLvl w:val="1"/>
        <w:rPr>
          <w:rFonts w:ascii="仿宋" w:hAnsi="仿宋" w:eastAsia="仿宋" w:cs="仿宋"/>
          <w:color w:val="auto"/>
          <w:sz w:val="30"/>
          <w:szCs w:val="30"/>
        </w:rPr>
      </w:pPr>
      <w:r>
        <w:rPr>
          <w:rFonts w:ascii="仿宋" w:hAnsi="仿宋" w:eastAsia="仿宋" w:cs="仿宋"/>
          <w:color w:val="auto"/>
          <w:spacing w:val="-2"/>
          <w:sz w:val="30"/>
          <w:szCs w:val="30"/>
        </w:rPr>
        <w:t>我单位202</w:t>
      </w:r>
      <w:r>
        <w:rPr>
          <w:rFonts w:hint="eastAsia" w:ascii="仿宋" w:hAnsi="仿宋" w:eastAsia="仿宋" w:cs="仿宋"/>
          <w:color w:val="auto"/>
          <w:spacing w:val="-2"/>
          <w:sz w:val="30"/>
          <w:szCs w:val="30"/>
          <w:lang w:val="en-US" w:eastAsia="zh-CN"/>
        </w:rPr>
        <w:t>3</w:t>
      </w:r>
      <w:r>
        <w:rPr>
          <w:rFonts w:ascii="仿宋" w:hAnsi="仿宋" w:eastAsia="仿宋" w:cs="仿宋"/>
          <w:color w:val="auto"/>
          <w:spacing w:val="-2"/>
          <w:sz w:val="30"/>
          <w:szCs w:val="30"/>
        </w:rPr>
        <w:t>年度预算</w:t>
      </w:r>
      <w:r>
        <w:rPr>
          <w:rFonts w:ascii="仿宋" w:hAnsi="仿宋" w:eastAsia="仿宋" w:cs="仿宋"/>
          <w:color w:val="auto"/>
          <w:spacing w:val="-5"/>
          <w:sz w:val="30"/>
          <w:szCs w:val="30"/>
        </w:rPr>
        <w:t>数为</w:t>
      </w:r>
      <w:r>
        <w:rPr>
          <w:rFonts w:hint="eastAsia" w:ascii="仿宋" w:hAnsi="仿宋" w:eastAsia="仿宋" w:cs="仿宋"/>
          <w:color w:val="auto"/>
          <w:spacing w:val="-5"/>
          <w:sz w:val="30"/>
          <w:szCs w:val="30"/>
        </w:rPr>
        <w:t>2199.56</w:t>
      </w:r>
      <w:r>
        <w:rPr>
          <w:rFonts w:ascii="仿宋" w:hAnsi="仿宋" w:eastAsia="仿宋" w:cs="仿宋"/>
          <w:color w:val="auto"/>
          <w:spacing w:val="-5"/>
          <w:sz w:val="30"/>
          <w:szCs w:val="30"/>
        </w:rPr>
        <w:t>万元，执行数为</w:t>
      </w:r>
      <w:r>
        <w:rPr>
          <w:rFonts w:ascii="仿宋" w:hAnsi="仿宋" w:eastAsia="仿宋" w:cs="仿宋"/>
          <w:color w:val="auto"/>
          <w:spacing w:val="-43"/>
          <w:sz w:val="30"/>
          <w:szCs w:val="30"/>
        </w:rPr>
        <w:t xml:space="preserve"> </w:t>
      </w:r>
      <w:r>
        <w:rPr>
          <w:rFonts w:hint="eastAsia" w:ascii="仿宋" w:hAnsi="仿宋" w:eastAsia="仿宋" w:cs="仿宋"/>
          <w:color w:val="auto"/>
          <w:spacing w:val="-5"/>
          <w:sz w:val="30"/>
          <w:szCs w:val="30"/>
          <w:lang w:val="en-US" w:eastAsia="zh-CN"/>
        </w:rPr>
        <w:t>2093.08</w:t>
      </w:r>
      <w:r>
        <w:rPr>
          <w:rFonts w:ascii="仿宋" w:hAnsi="仿宋" w:eastAsia="仿宋" w:cs="仿宋"/>
          <w:color w:val="auto"/>
          <w:spacing w:val="-53"/>
          <w:sz w:val="30"/>
          <w:szCs w:val="30"/>
        </w:rPr>
        <w:t xml:space="preserve"> </w:t>
      </w:r>
      <w:r>
        <w:rPr>
          <w:rFonts w:ascii="仿宋" w:hAnsi="仿宋" w:eastAsia="仿宋" w:cs="仿宋"/>
          <w:color w:val="auto"/>
          <w:spacing w:val="-5"/>
          <w:sz w:val="30"/>
          <w:szCs w:val="30"/>
        </w:rPr>
        <w:t>万元，执</w:t>
      </w:r>
      <w:r>
        <w:rPr>
          <w:rFonts w:ascii="仿宋" w:hAnsi="仿宋" w:eastAsia="仿宋" w:cs="仿宋"/>
          <w:color w:val="auto"/>
          <w:spacing w:val="1"/>
          <w:sz w:val="30"/>
          <w:szCs w:val="30"/>
        </w:rPr>
        <w:t>行率达</w:t>
      </w:r>
      <w:r>
        <w:rPr>
          <w:rFonts w:hint="eastAsia" w:ascii="仿宋" w:hAnsi="仿宋" w:eastAsia="仿宋" w:cs="仿宋"/>
          <w:color w:val="auto"/>
          <w:spacing w:val="1"/>
          <w:sz w:val="30"/>
          <w:szCs w:val="30"/>
          <w:lang w:val="en-US" w:eastAsia="zh-CN"/>
        </w:rPr>
        <w:t>95</w:t>
      </w:r>
      <w:r>
        <w:rPr>
          <w:rFonts w:ascii="仿宋" w:hAnsi="仿宋" w:eastAsia="仿宋" w:cs="仿宋"/>
          <w:color w:val="auto"/>
          <w:spacing w:val="1"/>
          <w:sz w:val="30"/>
          <w:szCs w:val="30"/>
        </w:rPr>
        <w:t>%。</w:t>
      </w:r>
    </w:p>
    <w:p w14:paraId="16BA354F">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rPr>
        <w:t>用地服务。</w:t>
      </w:r>
      <w:r>
        <w:rPr>
          <w:rFonts w:hint="default" w:ascii="Times New Roman" w:hAnsi="Times New Roman" w:eastAsia="仿宋" w:cs="Times New Roman"/>
          <w:b w:val="0"/>
          <w:bCs w:val="0"/>
          <w:color w:val="auto"/>
          <w:sz w:val="32"/>
          <w:szCs w:val="32"/>
          <w:highlight w:val="none"/>
        </w:rPr>
        <w:t>全区纳入到项目用地报批计划项目33个（含专项债项目），面积2970亩，</w:t>
      </w:r>
      <w:r>
        <w:rPr>
          <w:rFonts w:hint="eastAsia" w:ascii="Times New Roman" w:hAnsi="Times New Roman" w:eastAsia="仿宋" w:cs="Times New Roman"/>
          <w:b w:val="0"/>
          <w:bCs w:val="0"/>
          <w:color w:val="auto"/>
          <w:sz w:val="32"/>
          <w:szCs w:val="32"/>
          <w:highlight w:val="none"/>
          <w:lang w:eastAsia="zh-CN"/>
        </w:rPr>
        <w:t>已批回建设用地</w:t>
      </w:r>
      <w:r>
        <w:rPr>
          <w:rFonts w:hint="eastAsia" w:ascii="Times New Roman" w:hAnsi="Times New Roman" w:eastAsia="仿宋" w:cs="Times New Roman"/>
          <w:b w:val="0"/>
          <w:bCs w:val="0"/>
          <w:color w:val="auto"/>
          <w:sz w:val="32"/>
          <w:szCs w:val="32"/>
          <w:highlight w:val="none"/>
          <w:lang w:val="en-US" w:eastAsia="zh-CN"/>
        </w:rPr>
        <w:t>17</w:t>
      </w:r>
      <w:r>
        <w:rPr>
          <w:rFonts w:hint="eastAsia" w:ascii="Times New Roman" w:hAnsi="Times New Roman" w:eastAsia="仿宋" w:cs="Times New Roman"/>
          <w:b w:val="0"/>
          <w:bCs w:val="0"/>
          <w:color w:val="auto"/>
          <w:sz w:val="32"/>
          <w:szCs w:val="32"/>
          <w:highlight w:val="none"/>
          <w:lang w:eastAsia="zh-CN"/>
        </w:rPr>
        <w:t>个批次，面积</w:t>
      </w:r>
      <w:r>
        <w:rPr>
          <w:rFonts w:hint="eastAsia" w:ascii="Times New Roman" w:hAnsi="Times New Roman" w:eastAsia="仿宋" w:cs="Times New Roman"/>
          <w:b w:val="0"/>
          <w:bCs w:val="0"/>
          <w:color w:val="auto"/>
          <w:sz w:val="32"/>
          <w:szCs w:val="32"/>
          <w:highlight w:val="none"/>
          <w:lang w:val="en-US" w:eastAsia="zh-CN"/>
        </w:rPr>
        <w:t>8835</w:t>
      </w:r>
      <w:r>
        <w:rPr>
          <w:rFonts w:hint="eastAsia" w:ascii="Times New Roman" w:hAnsi="Times New Roman" w:eastAsia="仿宋" w:cs="Times New Roman"/>
          <w:b w:val="0"/>
          <w:bCs w:val="0"/>
          <w:color w:val="auto"/>
          <w:sz w:val="32"/>
          <w:szCs w:val="32"/>
          <w:highlight w:val="none"/>
          <w:lang w:eastAsia="zh-CN"/>
        </w:rPr>
        <w:t>亩。</w:t>
      </w:r>
      <w:r>
        <w:rPr>
          <w:rFonts w:hint="default" w:ascii="Times New Roman" w:hAnsi="Times New Roman" w:eastAsia="仿宋" w:cs="Times New Roman"/>
          <w:b w:val="0"/>
          <w:bCs w:val="0"/>
          <w:color w:val="auto"/>
          <w:sz w:val="32"/>
          <w:szCs w:val="32"/>
          <w:highlight w:val="none"/>
        </w:rPr>
        <w:t>鄂城区土地市场</w:t>
      </w:r>
      <w:r>
        <w:rPr>
          <w:rFonts w:hint="eastAsia" w:ascii="Times New Roman" w:hAnsi="Times New Roman" w:eastAsia="仿宋" w:cs="Times New Roman"/>
          <w:b w:val="0"/>
          <w:bCs w:val="0"/>
          <w:color w:val="auto"/>
          <w:sz w:val="32"/>
          <w:szCs w:val="32"/>
          <w:highlight w:val="none"/>
          <w:lang w:eastAsia="zh-CN"/>
        </w:rPr>
        <w:t>已</w:t>
      </w:r>
      <w:r>
        <w:rPr>
          <w:rFonts w:hint="default" w:ascii="Times New Roman" w:hAnsi="Times New Roman" w:eastAsia="仿宋" w:cs="Times New Roman"/>
          <w:b w:val="0"/>
          <w:bCs w:val="0"/>
          <w:color w:val="auto"/>
          <w:sz w:val="32"/>
          <w:szCs w:val="32"/>
          <w:highlight w:val="none"/>
        </w:rPr>
        <w:t>挂牌成交</w:t>
      </w:r>
      <w:r>
        <w:rPr>
          <w:rFonts w:hint="eastAsia" w:ascii="Times New Roman" w:hAnsi="Times New Roman" w:eastAsia="仿宋" w:cs="Times New Roman"/>
          <w:b w:val="0"/>
          <w:bCs w:val="0"/>
          <w:color w:val="auto"/>
          <w:sz w:val="32"/>
          <w:szCs w:val="32"/>
          <w:highlight w:val="none"/>
          <w:lang w:val="en-US" w:eastAsia="zh-CN"/>
        </w:rPr>
        <w:t>15</w:t>
      </w:r>
      <w:r>
        <w:rPr>
          <w:rFonts w:hint="default" w:ascii="Times New Roman" w:hAnsi="Times New Roman" w:eastAsia="仿宋" w:cs="Times New Roman"/>
          <w:b w:val="0"/>
          <w:bCs w:val="0"/>
          <w:color w:val="auto"/>
          <w:sz w:val="32"/>
          <w:szCs w:val="32"/>
          <w:highlight w:val="none"/>
        </w:rPr>
        <w:t>宗土地，面积</w:t>
      </w:r>
      <w:r>
        <w:rPr>
          <w:rFonts w:hint="eastAsia" w:ascii="Times New Roman" w:hAnsi="Times New Roman" w:eastAsia="仿宋" w:cs="Times New Roman"/>
          <w:b w:val="0"/>
          <w:bCs w:val="0"/>
          <w:color w:val="auto"/>
          <w:sz w:val="32"/>
          <w:szCs w:val="32"/>
          <w:highlight w:val="none"/>
          <w:lang w:val="en-US" w:eastAsia="zh-CN"/>
        </w:rPr>
        <w:t>581.0788</w:t>
      </w:r>
      <w:r>
        <w:rPr>
          <w:rFonts w:hint="default" w:ascii="Times New Roman" w:hAnsi="Times New Roman" w:eastAsia="仿宋" w:cs="Times New Roman"/>
          <w:b w:val="0"/>
          <w:bCs w:val="0"/>
          <w:color w:val="auto"/>
          <w:sz w:val="32"/>
          <w:szCs w:val="32"/>
          <w:highlight w:val="none"/>
        </w:rPr>
        <w:t>亩，成交金额</w:t>
      </w:r>
      <w:r>
        <w:rPr>
          <w:rFonts w:hint="eastAsia" w:ascii="Times New Roman" w:hAnsi="Times New Roman" w:eastAsia="仿宋" w:cs="Times New Roman"/>
          <w:b w:val="0"/>
          <w:bCs w:val="0"/>
          <w:color w:val="auto"/>
          <w:sz w:val="32"/>
          <w:szCs w:val="32"/>
          <w:highlight w:val="none"/>
          <w:lang w:val="en-US" w:eastAsia="zh-CN"/>
        </w:rPr>
        <w:t>22468</w:t>
      </w:r>
      <w:r>
        <w:rPr>
          <w:rFonts w:hint="default" w:ascii="Times New Roman" w:hAnsi="Times New Roman" w:eastAsia="仿宋" w:cs="Times New Roman"/>
          <w:b w:val="0"/>
          <w:bCs w:val="0"/>
          <w:color w:val="auto"/>
          <w:sz w:val="32"/>
          <w:szCs w:val="32"/>
          <w:highlight w:val="none"/>
        </w:rPr>
        <w:t>万元；在挂牌期限内</w:t>
      </w:r>
      <w:r>
        <w:rPr>
          <w:rFonts w:hint="eastAsia" w:ascii="Times New Roman" w:hAnsi="Times New Roman" w:eastAsia="仿宋" w:cs="Times New Roman"/>
          <w:b w:val="0"/>
          <w:bCs w:val="0"/>
          <w:color w:val="auto"/>
          <w:sz w:val="32"/>
          <w:szCs w:val="32"/>
          <w:highlight w:val="none"/>
          <w:lang w:val="en-US" w:eastAsia="zh-CN"/>
        </w:rPr>
        <w:t>5</w:t>
      </w:r>
      <w:r>
        <w:rPr>
          <w:rFonts w:hint="default" w:ascii="Times New Roman" w:hAnsi="Times New Roman" w:eastAsia="仿宋" w:cs="Times New Roman"/>
          <w:b w:val="0"/>
          <w:bCs w:val="0"/>
          <w:color w:val="auto"/>
          <w:sz w:val="32"/>
          <w:szCs w:val="32"/>
          <w:highlight w:val="none"/>
        </w:rPr>
        <w:t>宗土地，面积</w:t>
      </w:r>
      <w:r>
        <w:rPr>
          <w:rFonts w:hint="eastAsia" w:ascii="Times New Roman" w:hAnsi="Times New Roman" w:eastAsia="仿宋" w:cs="Times New Roman"/>
          <w:b w:val="0"/>
          <w:bCs w:val="0"/>
          <w:color w:val="auto"/>
          <w:sz w:val="32"/>
          <w:szCs w:val="32"/>
          <w:highlight w:val="none"/>
          <w:lang w:val="en-US" w:eastAsia="zh-CN"/>
        </w:rPr>
        <w:t>450.78015</w:t>
      </w:r>
      <w:r>
        <w:rPr>
          <w:rFonts w:hint="default" w:ascii="Times New Roman" w:hAnsi="Times New Roman" w:eastAsia="仿宋" w:cs="Times New Roman"/>
          <w:b w:val="0"/>
          <w:bCs w:val="0"/>
          <w:color w:val="auto"/>
          <w:sz w:val="32"/>
          <w:szCs w:val="32"/>
          <w:highlight w:val="none"/>
        </w:rPr>
        <w:t>亩，土地出让挂牌金额</w:t>
      </w:r>
      <w:r>
        <w:rPr>
          <w:rFonts w:hint="eastAsia" w:ascii="Times New Roman" w:hAnsi="Times New Roman" w:eastAsia="仿宋" w:cs="Times New Roman"/>
          <w:b w:val="0"/>
          <w:bCs w:val="0"/>
          <w:color w:val="auto"/>
          <w:sz w:val="32"/>
          <w:szCs w:val="32"/>
          <w:highlight w:val="none"/>
          <w:lang w:val="en-US" w:eastAsia="zh-CN"/>
        </w:rPr>
        <w:t>108034</w:t>
      </w:r>
      <w:r>
        <w:rPr>
          <w:rFonts w:hint="default" w:ascii="Times New Roman" w:hAnsi="Times New Roman" w:eastAsia="仿宋" w:cs="Times New Roman"/>
          <w:b w:val="0"/>
          <w:bCs w:val="0"/>
          <w:color w:val="auto"/>
          <w:sz w:val="32"/>
          <w:szCs w:val="32"/>
          <w:highlight w:val="none"/>
        </w:rPr>
        <w:t>万元</w:t>
      </w:r>
      <w:r>
        <w:rPr>
          <w:rFonts w:hint="default" w:ascii="Times New Roman" w:hAnsi="Times New Roman" w:eastAsia="仿宋" w:cs="Times New Roman"/>
          <w:b w:val="0"/>
          <w:bCs w:val="0"/>
          <w:color w:val="auto"/>
          <w:sz w:val="32"/>
          <w:szCs w:val="32"/>
          <w:highlight w:val="none"/>
          <w:lang w:val="en-US" w:eastAsia="zh-CN"/>
        </w:rPr>
        <w:t>。</w:t>
      </w:r>
    </w:p>
    <w:p w14:paraId="5A96BF3D">
      <w:pPr>
        <w:keepNext w:val="0"/>
        <w:keepLines w:val="0"/>
        <w:pageBreakBefore w:val="0"/>
        <w:widowControl w:val="0"/>
        <w:numPr>
          <w:ilvl w:val="0"/>
          <w:numId w:val="0"/>
        </w:numPr>
        <w:shd w:val="clea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default" w:ascii="楷体" w:hAnsi="楷体" w:eastAsia="楷体" w:cs="楷体"/>
          <w:b w:val="0"/>
          <w:bCs w:val="0"/>
          <w:color w:val="auto"/>
          <w:sz w:val="32"/>
          <w:szCs w:val="32"/>
          <w:highlight w:val="none"/>
          <w:lang w:val="en-US" w:eastAsia="zh-CN"/>
        </w:rPr>
        <w:t>用地规划。</w:t>
      </w:r>
      <w:r>
        <w:rPr>
          <w:rFonts w:hint="default" w:ascii="Times New Roman" w:hAnsi="Times New Roman" w:eastAsia="仿宋" w:cs="Times New Roman"/>
          <w:b w:val="0"/>
          <w:bCs w:val="0"/>
          <w:color w:val="auto"/>
          <w:sz w:val="32"/>
          <w:szCs w:val="32"/>
          <w:highlight w:val="none"/>
        </w:rPr>
        <w:t>召开区空间委员会</w:t>
      </w:r>
      <w:r>
        <w:rPr>
          <w:rFonts w:hint="eastAsia" w:ascii="Times New Roman" w:hAnsi="Times New Roman" w:eastAsia="仿宋" w:cs="Times New Roman"/>
          <w:b w:val="0"/>
          <w:bCs w:val="0"/>
          <w:color w:val="auto"/>
          <w:sz w:val="32"/>
          <w:szCs w:val="32"/>
          <w:highlight w:val="none"/>
          <w:lang w:val="en-US" w:eastAsia="zh-CN"/>
        </w:rPr>
        <w:t>11</w:t>
      </w:r>
      <w:r>
        <w:rPr>
          <w:rFonts w:hint="default" w:ascii="Times New Roman" w:hAnsi="Times New Roman" w:eastAsia="仿宋" w:cs="Times New Roman"/>
          <w:b w:val="0"/>
          <w:bCs w:val="0"/>
          <w:color w:val="auto"/>
          <w:sz w:val="32"/>
          <w:szCs w:val="32"/>
          <w:highlight w:val="none"/>
        </w:rPr>
        <w:t>次，审批通过项目</w:t>
      </w:r>
      <w:r>
        <w:rPr>
          <w:rFonts w:hint="eastAsia" w:ascii="Times New Roman" w:hAnsi="Times New Roman" w:eastAsia="仿宋" w:cs="Times New Roman"/>
          <w:b w:val="0"/>
          <w:bCs w:val="0"/>
          <w:color w:val="auto"/>
          <w:sz w:val="32"/>
          <w:szCs w:val="32"/>
          <w:highlight w:val="none"/>
          <w:lang w:val="en-US" w:eastAsia="zh-CN"/>
        </w:rPr>
        <w:t>55</w:t>
      </w:r>
      <w:r>
        <w:rPr>
          <w:rFonts w:hint="default" w:ascii="Times New Roman" w:hAnsi="Times New Roman" w:eastAsia="仿宋" w:cs="Times New Roman"/>
          <w:b w:val="0"/>
          <w:bCs w:val="0"/>
          <w:color w:val="auto"/>
          <w:sz w:val="32"/>
          <w:szCs w:val="32"/>
          <w:highlight w:val="none"/>
        </w:rPr>
        <w:t>个</w:t>
      </w:r>
      <w:r>
        <w:rPr>
          <w:rFonts w:hint="eastAsia"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编制用地红线和规划设计要点</w:t>
      </w:r>
      <w:r>
        <w:rPr>
          <w:rFonts w:hint="eastAsia" w:ascii="Times New Roman" w:hAnsi="Times New Roman" w:eastAsia="仿宋" w:cs="Times New Roman"/>
          <w:color w:val="auto"/>
          <w:sz w:val="32"/>
          <w:szCs w:val="32"/>
          <w:highlight w:val="none"/>
          <w:lang w:val="en-US" w:eastAsia="zh-CN"/>
        </w:rPr>
        <w:t>64</w:t>
      </w:r>
      <w:r>
        <w:rPr>
          <w:rFonts w:hint="default" w:ascii="Times New Roman" w:hAnsi="Times New Roman" w:eastAsia="仿宋" w:cs="Times New Roman"/>
          <w:color w:val="auto"/>
          <w:sz w:val="32"/>
          <w:szCs w:val="32"/>
          <w:highlight w:val="none"/>
          <w:lang w:val="en-US" w:eastAsia="zh-CN"/>
        </w:rPr>
        <w:t>份；</w:t>
      </w:r>
      <w:r>
        <w:rPr>
          <w:rFonts w:hint="eastAsia" w:ascii="Times New Roman" w:hAnsi="Times New Roman" w:eastAsia="仿宋" w:cs="Times New Roman"/>
          <w:color w:val="auto"/>
          <w:sz w:val="32"/>
          <w:szCs w:val="32"/>
          <w:highlight w:val="none"/>
          <w:lang w:val="en-US" w:eastAsia="zh-CN"/>
        </w:rPr>
        <w:t>核发用地预审与选址意见书14个、</w:t>
      </w:r>
      <w:r>
        <w:rPr>
          <w:rFonts w:hint="default" w:ascii="Times New Roman" w:hAnsi="Times New Roman" w:eastAsia="仿宋" w:cs="Times New Roman"/>
          <w:color w:val="auto"/>
          <w:sz w:val="32"/>
          <w:szCs w:val="32"/>
          <w:highlight w:val="none"/>
          <w:lang w:val="en-US" w:eastAsia="zh-CN"/>
        </w:rPr>
        <w:t>建</w:t>
      </w:r>
      <w:r>
        <w:rPr>
          <w:rFonts w:hint="eastAsia" w:ascii="Times New Roman" w:hAnsi="Times New Roman" w:eastAsia="仿宋" w:cs="Times New Roman"/>
          <w:color w:val="auto"/>
          <w:sz w:val="32"/>
          <w:szCs w:val="32"/>
          <w:highlight w:val="none"/>
          <w:lang w:val="en-US" w:eastAsia="zh-CN"/>
        </w:rPr>
        <w:t>设</w:t>
      </w:r>
      <w:r>
        <w:rPr>
          <w:rFonts w:hint="default" w:ascii="Times New Roman" w:hAnsi="Times New Roman" w:eastAsia="仿宋" w:cs="Times New Roman"/>
          <w:color w:val="auto"/>
          <w:sz w:val="32"/>
          <w:szCs w:val="32"/>
          <w:highlight w:val="none"/>
          <w:lang w:val="en-US" w:eastAsia="zh-CN"/>
        </w:rPr>
        <w:t>用地规划许可证</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3个用地面积</w:t>
      </w:r>
      <w:r>
        <w:rPr>
          <w:rFonts w:hint="eastAsia" w:ascii="Times New Roman" w:hAnsi="Times New Roman" w:eastAsia="仿宋" w:cs="Times New Roman"/>
          <w:color w:val="auto"/>
          <w:sz w:val="32"/>
          <w:szCs w:val="32"/>
          <w:highlight w:val="none"/>
          <w:lang w:val="en-US" w:eastAsia="zh-CN"/>
        </w:rPr>
        <w:t>208.54万</w:t>
      </w:r>
      <w:r>
        <w:rPr>
          <w:rFonts w:hint="default" w:ascii="Times New Roman" w:hAnsi="Times New Roman" w:eastAsia="仿宋" w:cs="Times New Roman"/>
          <w:color w:val="auto"/>
          <w:sz w:val="32"/>
          <w:szCs w:val="32"/>
          <w:highlight w:val="none"/>
          <w:lang w:val="en-US" w:eastAsia="zh-CN"/>
        </w:rPr>
        <w:t>平方米</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建设工程规划许可证</w:t>
      </w:r>
      <w:r>
        <w:rPr>
          <w:rFonts w:hint="eastAsia" w:ascii="Times New Roman" w:hAnsi="Times New Roman" w:eastAsia="仿宋" w:cs="Times New Roman"/>
          <w:color w:val="auto"/>
          <w:sz w:val="32"/>
          <w:szCs w:val="32"/>
          <w:highlight w:val="none"/>
          <w:lang w:val="en-US" w:eastAsia="zh-CN"/>
        </w:rPr>
        <w:t>37</w:t>
      </w:r>
      <w:r>
        <w:rPr>
          <w:rFonts w:hint="default" w:ascii="Times New Roman" w:hAnsi="Times New Roman" w:eastAsia="仿宋" w:cs="Times New Roman"/>
          <w:color w:val="auto"/>
          <w:sz w:val="32"/>
          <w:szCs w:val="32"/>
          <w:highlight w:val="none"/>
          <w:lang w:val="en-US" w:eastAsia="zh-CN"/>
        </w:rPr>
        <w:t>份建筑面积约</w:t>
      </w:r>
      <w:r>
        <w:rPr>
          <w:rFonts w:hint="eastAsia" w:ascii="Times New Roman" w:hAnsi="Times New Roman" w:eastAsia="仿宋" w:cs="Times New Roman"/>
          <w:color w:val="auto"/>
          <w:sz w:val="32"/>
          <w:szCs w:val="32"/>
          <w:highlight w:val="none"/>
          <w:lang w:val="en-US" w:eastAsia="zh-CN"/>
        </w:rPr>
        <w:t>208.54万</w:t>
      </w:r>
      <w:r>
        <w:rPr>
          <w:rFonts w:hint="default" w:ascii="Times New Roman" w:hAnsi="Times New Roman" w:eastAsia="仿宋" w:cs="Times New Roman"/>
          <w:color w:val="auto"/>
          <w:sz w:val="32"/>
          <w:szCs w:val="32"/>
          <w:highlight w:val="none"/>
          <w:lang w:val="en-US" w:eastAsia="zh-CN"/>
        </w:rPr>
        <w:t>平方米；完成规划验收</w:t>
      </w:r>
      <w:r>
        <w:rPr>
          <w:rFonts w:hint="eastAsia" w:ascii="Times New Roman" w:hAnsi="Times New Roman" w:eastAsia="仿宋" w:cs="Times New Roman"/>
          <w:color w:val="auto"/>
          <w:sz w:val="32"/>
          <w:szCs w:val="32"/>
          <w:highlight w:val="none"/>
          <w:lang w:val="en-US" w:eastAsia="zh-CN"/>
        </w:rPr>
        <w:t>28</w:t>
      </w:r>
      <w:r>
        <w:rPr>
          <w:rFonts w:hint="default" w:ascii="Times New Roman" w:hAnsi="Times New Roman" w:eastAsia="仿宋" w:cs="Times New Roman"/>
          <w:color w:val="auto"/>
          <w:sz w:val="32"/>
          <w:szCs w:val="32"/>
          <w:highlight w:val="none"/>
          <w:lang w:val="en-US" w:eastAsia="zh-CN"/>
        </w:rPr>
        <w:t>个</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现场规划核实</w:t>
      </w:r>
      <w:r>
        <w:rPr>
          <w:rFonts w:hint="eastAsia" w:ascii="Times New Roman" w:hAnsi="Times New Roman" w:eastAsia="仿宋" w:cs="Times New Roman"/>
          <w:color w:val="auto"/>
          <w:sz w:val="32"/>
          <w:szCs w:val="32"/>
          <w:highlight w:val="none"/>
          <w:lang w:val="en-US" w:eastAsia="zh-CN"/>
        </w:rPr>
        <w:t>24</w:t>
      </w:r>
      <w:r>
        <w:rPr>
          <w:rFonts w:hint="default" w:ascii="Times New Roman" w:hAnsi="Times New Roman" w:eastAsia="仿宋" w:cs="Times New Roman"/>
          <w:color w:val="auto"/>
          <w:sz w:val="32"/>
          <w:szCs w:val="32"/>
          <w:highlight w:val="none"/>
          <w:lang w:val="en-US" w:eastAsia="zh-CN"/>
        </w:rPr>
        <w:t>个；收缴、补缴配套费745</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6499</w:t>
      </w:r>
      <w:r>
        <w:rPr>
          <w:rFonts w:hint="eastAsia" w:ascii="Times New Roman" w:hAnsi="Times New Roman" w:eastAsia="仿宋" w:cs="Times New Roman"/>
          <w:color w:val="auto"/>
          <w:sz w:val="32"/>
          <w:szCs w:val="32"/>
          <w:highlight w:val="none"/>
          <w:lang w:val="en-US" w:eastAsia="zh-CN"/>
        </w:rPr>
        <w:t>万</w:t>
      </w:r>
      <w:r>
        <w:rPr>
          <w:rFonts w:hint="default" w:ascii="Times New Roman" w:hAnsi="Times New Roman" w:eastAsia="仿宋" w:cs="Times New Roman"/>
          <w:color w:val="auto"/>
          <w:sz w:val="32"/>
          <w:szCs w:val="32"/>
          <w:highlight w:val="none"/>
          <w:lang w:val="en-US" w:eastAsia="zh-CN"/>
        </w:rPr>
        <w:t>元</w:t>
      </w:r>
      <w:r>
        <w:rPr>
          <w:rFonts w:hint="eastAsia" w:ascii="Times New Roman" w:hAnsi="Times New Roman" w:eastAsia="仿宋" w:cs="Times New Roman"/>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矿政管理。</w:t>
      </w:r>
      <w:r>
        <w:rPr>
          <w:rFonts w:hint="default" w:ascii="Times New Roman" w:hAnsi="Times New Roman" w:eastAsia="仿宋_GB2312" w:cs="Times New Roman"/>
          <w:color w:val="auto"/>
          <w:sz w:val="32"/>
          <w:szCs w:val="32"/>
          <w:highlight w:val="none"/>
          <w:lang w:val="en-US" w:eastAsia="zh-CN"/>
        </w:rPr>
        <w:t>配合区安委会对矿山进行复工复产检查，按照专家意见督促</w:t>
      </w:r>
      <w:r>
        <w:rPr>
          <w:rFonts w:hint="eastAsia" w:ascii="Times New Roman" w:hAnsi="Times New Roman" w:eastAsia="仿宋_GB2312" w:cs="Times New Roman"/>
          <w:color w:val="auto"/>
          <w:sz w:val="32"/>
          <w:szCs w:val="32"/>
          <w:highlight w:val="none"/>
          <w:lang w:val="en-US" w:eastAsia="zh-CN"/>
        </w:rPr>
        <w:t>矿山</w:t>
      </w:r>
      <w:r>
        <w:rPr>
          <w:rFonts w:hint="default" w:ascii="Times New Roman" w:hAnsi="Times New Roman" w:eastAsia="仿宋_GB2312" w:cs="Times New Roman"/>
          <w:color w:val="auto"/>
          <w:sz w:val="32"/>
          <w:szCs w:val="32"/>
          <w:highlight w:val="none"/>
          <w:lang w:val="en-US" w:eastAsia="zh-CN"/>
        </w:rPr>
        <w:t>落实整改</w:t>
      </w:r>
      <w:r>
        <w:rPr>
          <w:rFonts w:hint="eastAsia" w:ascii="Times New Roman" w:hAnsi="Times New Roman" w:eastAsia="仿宋"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lang w:val="en-US" w:eastAsia="zh-CN"/>
        </w:rPr>
        <w:t>矿山资源储量变化情况统计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审查矿山报件申请</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出具核查意见</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协助指导、督促</w:t>
      </w:r>
      <w:r>
        <w:rPr>
          <w:rFonts w:hint="default" w:ascii="Times New Roman" w:hAnsi="Times New Roman" w:eastAsia="仿宋" w:cs="Times New Roman"/>
          <w:color w:val="auto"/>
          <w:sz w:val="32"/>
          <w:szCs w:val="32"/>
          <w:highlight w:val="none"/>
          <w:lang w:val="en-US" w:eastAsia="zh-CN"/>
        </w:rPr>
        <w:t>金冠沛矿山生态修复整改工作</w:t>
      </w:r>
      <w:r>
        <w:rPr>
          <w:rFonts w:hint="eastAsia" w:ascii="Times New Roman" w:hAnsi="Times New Roman" w:eastAsia="仿宋"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积极督促落实市级验收整改意见，</w:t>
      </w:r>
      <w:r>
        <w:rPr>
          <w:rFonts w:hint="default" w:ascii="Times New Roman" w:hAnsi="Times New Roman" w:eastAsia="仿宋_GB2312" w:cs="Times New Roman"/>
          <w:color w:val="auto"/>
          <w:sz w:val="32"/>
          <w:szCs w:val="32"/>
          <w:highlight w:val="none"/>
          <w:lang w:val="en-US" w:eastAsia="zh-CN"/>
        </w:rPr>
        <w:t>申请</w:t>
      </w:r>
      <w:r>
        <w:rPr>
          <w:rFonts w:hint="eastAsia"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lang w:val="en-US" w:eastAsia="zh-CN"/>
        </w:rPr>
        <w:t>级验收。</w:t>
      </w:r>
    </w:p>
    <w:p w14:paraId="74B2EEF9">
      <w:pPr>
        <w:keepNext w:val="0"/>
        <w:keepLines w:val="0"/>
        <w:pageBreakBefore w:val="0"/>
        <w:widowControl w:val="0"/>
        <w:shd w:val="clea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地灾防治。</w:t>
      </w:r>
      <w:r>
        <w:rPr>
          <w:rFonts w:hint="eastAsia" w:ascii="Times New Roman" w:hAnsi="Times New Roman" w:eastAsia="仿宋_GB2312" w:cs="Times New Roman"/>
          <w:color w:val="auto"/>
          <w:sz w:val="32"/>
          <w:szCs w:val="32"/>
          <w:highlight w:val="none"/>
          <w:lang w:val="en-US" w:eastAsia="zh-CN"/>
        </w:rPr>
        <w:t>完善</w:t>
      </w:r>
      <w:r>
        <w:rPr>
          <w:rFonts w:hint="default" w:ascii="Times New Roman" w:hAnsi="Times New Roman" w:eastAsia="仿宋_GB2312" w:cs="Times New Roman"/>
          <w:color w:val="auto"/>
          <w:sz w:val="32"/>
          <w:szCs w:val="32"/>
          <w:highlight w:val="none"/>
          <w:lang w:val="en-US" w:eastAsia="zh-CN"/>
        </w:rPr>
        <w:t>群测群防体系</w:t>
      </w:r>
      <w:r>
        <w:rPr>
          <w:rFonts w:hint="eastAsia" w:ascii="Times New Roman" w:hAnsi="Times New Roman" w:eastAsia="仿宋_GB2312" w:cs="Times New Roman"/>
          <w:color w:val="auto"/>
          <w:sz w:val="32"/>
          <w:szCs w:val="32"/>
          <w:highlight w:val="none"/>
          <w:lang w:val="en-US" w:eastAsia="zh-CN"/>
        </w:rPr>
        <w:t>，继续</w:t>
      </w:r>
      <w:r>
        <w:rPr>
          <w:rFonts w:hint="default" w:ascii="Times New Roman" w:hAnsi="Times New Roman" w:eastAsia="仿宋_GB2312" w:cs="Times New Roman"/>
          <w:color w:val="auto"/>
          <w:sz w:val="32"/>
          <w:szCs w:val="32"/>
          <w:highlight w:val="none"/>
          <w:lang w:val="en-US" w:eastAsia="zh-CN"/>
        </w:rPr>
        <w:t>与各地灾隐患点群测群防员签订巡查监测协议</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督促开展巡排查</w:t>
      </w:r>
      <w:r>
        <w:rPr>
          <w:rFonts w:hint="eastAsia" w:ascii="Times New Roman" w:hAnsi="Times New Roman" w:eastAsia="仿宋_GB2312" w:cs="Times New Roman"/>
          <w:color w:val="auto"/>
          <w:sz w:val="32"/>
          <w:szCs w:val="32"/>
          <w:highlight w:val="none"/>
          <w:lang w:val="en-US" w:eastAsia="zh-CN"/>
        </w:rPr>
        <w:t>；开展地质灾害重大事故隐患专项排查整治；配合做好凤凰山滑坡、韩信湾地面塌陷等地质灾害应急处置工作；联合汀祖镇政府组织开展刘畈村下畈湾地面塌陷地质灾害应急演练；积极参加全区“5.12”防灾减灾日、安全生产咨询日等宣传活动。</w:t>
      </w:r>
    </w:p>
    <w:p w14:paraId="4FBF4DEF">
      <w:pPr>
        <w:keepNext w:val="0"/>
        <w:keepLines w:val="0"/>
        <w:pageBreakBefore w:val="0"/>
        <w:widowControl w:val="0"/>
        <w:shd w:val="clea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Times New Roman" w:hAnsi="Times New Roman" w:eastAsia="仿宋" w:cs="Times New Roman"/>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森林资源。</w:t>
      </w:r>
      <w:r>
        <w:rPr>
          <w:rFonts w:hint="eastAsia" w:ascii="仿宋" w:hAnsi="仿宋" w:eastAsia="仿宋" w:cs="仿宋"/>
          <w:color w:val="auto"/>
          <w:sz w:val="32"/>
          <w:szCs w:val="28"/>
          <w:highlight w:val="none"/>
          <w:lang w:val="en-US" w:eastAsia="zh-CN"/>
        </w:rPr>
        <w:t>严格林地报批，全年报省厅审批通过</w:t>
      </w:r>
      <w:r>
        <w:rPr>
          <w:rFonts w:hint="eastAsia" w:ascii="Times New Roman" w:hAnsi="Times New Roman" w:eastAsia="仿宋" w:cs="Times New Roman"/>
          <w:color w:val="auto"/>
          <w:sz w:val="32"/>
          <w:szCs w:val="32"/>
          <w:highlight w:val="none"/>
          <w:lang w:val="en-US" w:eastAsia="zh-CN"/>
        </w:rPr>
        <w:t>25宗面积52.5659公顷</w:t>
      </w:r>
      <w:r>
        <w:rPr>
          <w:rFonts w:hint="eastAsia" w:ascii="仿宋" w:hAnsi="仿宋" w:eastAsia="仿宋" w:cs="仿宋"/>
          <w:color w:val="auto"/>
          <w:sz w:val="32"/>
          <w:szCs w:val="28"/>
          <w:highlight w:val="none"/>
          <w:lang w:val="en-US" w:eastAsia="zh-CN"/>
        </w:rPr>
        <w:t>；落实落细公益林管护，</w:t>
      </w:r>
      <w:r>
        <w:rPr>
          <w:rFonts w:hint="default" w:ascii="Times New Roman" w:hAnsi="Times New Roman" w:eastAsia="仿宋" w:cs="Times New Roman"/>
          <w:color w:val="auto"/>
          <w:sz w:val="32"/>
          <w:szCs w:val="32"/>
          <w:highlight w:val="none"/>
          <w:lang w:val="en-US" w:eastAsia="zh-CN"/>
        </w:rPr>
        <w:t>兑现2022年公益林国家级补偿资金</w:t>
      </w:r>
      <w:r>
        <w:rPr>
          <w:rFonts w:hint="eastAsia" w:ascii="Times New Roman" w:hAnsi="Times New Roman" w:eastAsia="仿宋" w:cs="Times New Roman"/>
          <w:color w:val="auto"/>
          <w:sz w:val="32"/>
          <w:szCs w:val="32"/>
          <w:highlight w:val="none"/>
          <w:lang w:val="en-US" w:eastAsia="zh-CN"/>
        </w:rPr>
        <w:t>11.2323</w:t>
      </w:r>
      <w:r>
        <w:rPr>
          <w:rFonts w:hint="default" w:ascii="Times New Roman" w:hAnsi="Times New Roman" w:eastAsia="仿宋" w:cs="Times New Roman"/>
          <w:color w:val="auto"/>
          <w:sz w:val="32"/>
          <w:szCs w:val="32"/>
          <w:highlight w:val="none"/>
          <w:lang w:val="en-US" w:eastAsia="zh-CN"/>
        </w:rPr>
        <w:t>万元、省级补偿资金27.</w:t>
      </w:r>
      <w:r>
        <w:rPr>
          <w:rFonts w:hint="eastAsia" w:ascii="Times New Roman" w:hAnsi="Times New Roman" w:eastAsia="仿宋" w:cs="Times New Roman"/>
          <w:color w:val="auto"/>
          <w:sz w:val="32"/>
          <w:szCs w:val="32"/>
          <w:highlight w:val="none"/>
          <w:lang w:val="en-US" w:eastAsia="zh-CN"/>
        </w:rPr>
        <w:t>1046</w:t>
      </w:r>
      <w:r>
        <w:rPr>
          <w:rFonts w:hint="default" w:ascii="Times New Roman" w:hAnsi="Times New Roman" w:eastAsia="仿宋" w:cs="Times New Roman"/>
          <w:color w:val="auto"/>
          <w:sz w:val="32"/>
          <w:szCs w:val="32"/>
          <w:highlight w:val="none"/>
          <w:lang w:val="en-US" w:eastAsia="zh-CN"/>
        </w:rPr>
        <w:t>万元</w:t>
      </w:r>
      <w:r>
        <w:rPr>
          <w:rFonts w:hint="eastAsia" w:eastAsia="仿宋" w:cs="Times New Roman"/>
          <w:color w:val="auto"/>
          <w:sz w:val="32"/>
          <w:szCs w:val="32"/>
          <w:highlight w:val="none"/>
          <w:lang w:val="en-US" w:eastAsia="zh-CN"/>
        </w:rPr>
        <w:t>；开展</w:t>
      </w:r>
      <w:r>
        <w:rPr>
          <w:rFonts w:hint="default" w:ascii="Times New Roman" w:hAnsi="Times New Roman" w:eastAsia="仿宋" w:cs="Times New Roman"/>
          <w:color w:val="auto"/>
          <w:sz w:val="32"/>
          <w:szCs w:val="32"/>
          <w:highlight w:val="none"/>
          <w:lang w:val="en-US" w:eastAsia="zh-CN"/>
        </w:rPr>
        <w:t>2023年</w:t>
      </w:r>
      <w:r>
        <w:rPr>
          <w:rFonts w:hint="eastAsia" w:eastAsia="仿宋" w:cs="Times New Roman"/>
          <w:color w:val="auto"/>
          <w:sz w:val="32"/>
          <w:szCs w:val="32"/>
          <w:highlight w:val="none"/>
          <w:lang w:val="en-US" w:eastAsia="zh-CN"/>
        </w:rPr>
        <w:t>森林督查，</w:t>
      </w:r>
      <w:r>
        <w:rPr>
          <w:rFonts w:hint="eastAsia" w:ascii="Times New Roman" w:hAnsi="Times New Roman" w:eastAsia="仿宋" w:cs="Times New Roman"/>
          <w:color w:val="auto"/>
          <w:sz w:val="32"/>
          <w:szCs w:val="32"/>
          <w:highlight w:val="none"/>
          <w:lang w:val="en-US" w:eastAsia="zh-CN"/>
        </w:rPr>
        <w:t>依规</w:t>
      </w:r>
      <w:r>
        <w:rPr>
          <w:rFonts w:hint="default" w:ascii="Times New Roman" w:hAnsi="Times New Roman" w:eastAsia="仿宋" w:cs="Times New Roman"/>
          <w:color w:val="auto"/>
          <w:sz w:val="32"/>
          <w:szCs w:val="32"/>
          <w:highlight w:val="none"/>
          <w:lang w:val="en-US" w:eastAsia="zh-CN"/>
        </w:rPr>
        <w:t>移交</w:t>
      </w:r>
      <w:r>
        <w:rPr>
          <w:rFonts w:hint="eastAsia" w:ascii="Times New Roman" w:hAnsi="Times New Roman" w:eastAsia="仿宋" w:cs="Times New Roman"/>
          <w:color w:val="auto"/>
          <w:sz w:val="32"/>
          <w:szCs w:val="32"/>
          <w:highlight w:val="none"/>
          <w:lang w:val="en-US" w:eastAsia="zh-CN"/>
        </w:rPr>
        <w:t>10个疑似</w:t>
      </w:r>
      <w:r>
        <w:rPr>
          <w:rFonts w:hint="default" w:ascii="Times New Roman" w:hAnsi="Times New Roman" w:eastAsia="仿宋" w:cs="Times New Roman"/>
          <w:color w:val="auto"/>
          <w:sz w:val="32"/>
          <w:szCs w:val="32"/>
          <w:highlight w:val="none"/>
          <w:lang w:val="en-US" w:eastAsia="zh-CN"/>
        </w:rPr>
        <w:t>违法图斑</w:t>
      </w:r>
      <w:r>
        <w:rPr>
          <w:rFonts w:hint="eastAsia" w:ascii="Times New Roman" w:hAnsi="Times New Roman" w:eastAsia="仿宋" w:cs="Times New Roman"/>
          <w:color w:val="auto"/>
          <w:sz w:val="32"/>
          <w:szCs w:val="32"/>
          <w:highlight w:val="none"/>
          <w:lang w:val="en-US" w:eastAsia="zh-CN"/>
        </w:rPr>
        <w:t>线索市局支队；</w:t>
      </w:r>
      <w:r>
        <w:rPr>
          <w:rFonts w:hint="default" w:ascii="Times New Roman" w:hAnsi="Times New Roman" w:eastAsia="仿宋_GB2312" w:cs="Times New Roman"/>
          <w:color w:val="auto"/>
          <w:sz w:val="32"/>
          <w:szCs w:val="32"/>
          <w:highlight w:val="none"/>
        </w:rPr>
        <w:t>完成造林绿化目标任务500亩，</w:t>
      </w:r>
      <w:r>
        <w:rPr>
          <w:rFonts w:hint="default" w:ascii="Times New Roman" w:hAnsi="Times New Roman" w:eastAsia="仿宋" w:cs="Times New Roman"/>
          <w:b w:val="0"/>
          <w:bCs w:val="0"/>
          <w:color w:val="auto"/>
          <w:sz w:val="32"/>
          <w:szCs w:val="32"/>
          <w:highlight w:val="none"/>
        </w:rPr>
        <w:t>油茶扩面提质增效面积706.4亩</w:t>
      </w:r>
      <w:r>
        <w:rPr>
          <w:rFonts w:hint="eastAsia"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除治松材线虫病疫木</w:t>
      </w:r>
      <w:r>
        <w:rPr>
          <w:rFonts w:hint="default" w:ascii="Times New Roman" w:hAnsi="Times New Roman" w:eastAsia="仿宋" w:cs="Times New Roman"/>
          <w:b w:val="0"/>
          <w:bCs w:val="0"/>
          <w:color w:val="auto"/>
          <w:sz w:val="32"/>
          <w:szCs w:val="32"/>
          <w:highlight w:val="none"/>
          <w:lang w:val="en-US" w:eastAsia="zh-CN"/>
        </w:rPr>
        <w:t>94934株</w:t>
      </w:r>
      <w:r>
        <w:rPr>
          <w:rFonts w:hint="eastAsia" w:ascii="Times New Roman" w:hAnsi="Times New Roman" w:eastAsia="仿宋" w:cs="Times New Roman"/>
          <w:b w:val="0"/>
          <w:bCs w:val="0"/>
          <w:color w:val="auto"/>
          <w:sz w:val="32"/>
          <w:szCs w:val="32"/>
          <w:highlight w:val="none"/>
          <w:lang w:eastAsia="zh-CN"/>
        </w:rPr>
        <w:t>。</w:t>
      </w:r>
    </w:p>
    <w:p w14:paraId="7976CFE0">
      <w:pPr>
        <w:keepNext w:val="0"/>
        <w:keepLines w:val="0"/>
        <w:pageBreakBefore w:val="0"/>
        <w:widowControl w:val="0"/>
        <w:shd w:val="clea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耕地保护。</w:t>
      </w:r>
      <w:r>
        <w:rPr>
          <w:rFonts w:hint="eastAsia" w:ascii="Times New Roman" w:hAnsi="Times New Roman" w:eastAsia="仿宋" w:cs="Times New Roman"/>
          <w:b w:val="0"/>
          <w:bCs w:val="0"/>
          <w:color w:val="auto"/>
          <w:sz w:val="32"/>
          <w:szCs w:val="32"/>
          <w:highlight w:val="none"/>
          <w:lang w:val="en-US" w:eastAsia="zh-CN"/>
        </w:rPr>
        <w:t>完成鄂城区2021、2022年度耕地流出问题图斑整改工作，面积8756.44亩，完成举证并通过上级核查面积8621.38亩，举证通过率97.70%；通过实施全域国土综合整治项目、占补平衡和耕地提质改造（旱改水）项目等新</w:t>
      </w:r>
      <w:r>
        <w:rPr>
          <w:rFonts w:hint="default" w:ascii="Times New Roman" w:hAnsi="Times New Roman" w:eastAsia="仿宋" w:cs="Times New Roman"/>
          <w:color w:val="auto"/>
          <w:sz w:val="32"/>
          <w:szCs w:val="32"/>
          <w:highlight w:val="none"/>
          <w:lang w:val="en-US" w:eastAsia="zh-CN"/>
        </w:rPr>
        <w:t>增耕地400</w:t>
      </w:r>
      <w:r>
        <w:rPr>
          <w:rFonts w:hint="eastAsia" w:ascii="Times New Roman" w:hAnsi="Times New Roman" w:eastAsia="仿宋" w:cs="Times New Roman"/>
          <w:color w:val="auto"/>
          <w:sz w:val="32"/>
          <w:szCs w:val="32"/>
          <w:highlight w:val="none"/>
          <w:lang w:val="en-US" w:eastAsia="zh-CN"/>
        </w:rPr>
        <w:t>余</w:t>
      </w:r>
      <w:r>
        <w:rPr>
          <w:rFonts w:hint="default" w:ascii="Times New Roman" w:hAnsi="Times New Roman" w:eastAsia="仿宋" w:cs="Times New Roman"/>
          <w:color w:val="auto"/>
          <w:sz w:val="32"/>
          <w:szCs w:val="32"/>
          <w:highlight w:val="none"/>
          <w:lang w:val="en-US" w:eastAsia="zh-CN"/>
        </w:rPr>
        <w:t>亩</w:t>
      </w:r>
      <w:r>
        <w:rPr>
          <w:rFonts w:hint="eastAsia" w:ascii="Times New Roman" w:hAnsi="Times New Roman" w:eastAsia="仿宋" w:cs="Times New Roman"/>
          <w:color w:val="auto"/>
          <w:sz w:val="32"/>
          <w:szCs w:val="32"/>
          <w:highlight w:val="none"/>
          <w:lang w:val="en-US" w:eastAsia="zh-CN"/>
        </w:rPr>
        <w:t>。</w:t>
      </w:r>
    </w:p>
    <w:p w14:paraId="1FFCC936">
      <w:pPr>
        <w:keepNext w:val="0"/>
        <w:keepLines w:val="0"/>
        <w:pageBreakBefore w:val="0"/>
        <w:widowControl w:val="0"/>
        <w:numPr>
          <w:ilvl w:val="0"/>
          <w:numId w:val="0"/>
        </w:numPr>
        <w:shd w:val="clea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全域国土综合整治。</w:t>
      </w:r>
      <w:r>
        <w:rPr>
          <w:rFonts w:hint="default" w:ascii="Times New Roman" w:hAnsi="Times New Roman" w:eastAsia="仿宋" w:cs="Times New Roman"/>
          <w:color w:val="auto"/>
          <w:sz w:val="32"/>
          <w:szCs w:val="32"/>
          <w:highlight w:val="none"/>
          <w:lang w:val="en-US" w:eastAsia="zh-CN"/>
        </w:rPr>
        <w:t>汀祖</w:t>
      </w:r>
      <w:r>
        <w:rPr>
          <w:rFonts w:hint="eastAsia" w:ascii="Times New Roman" w:hAnsi="Times New Roman" w:eastAsia="仿宋" w:cs="Times New Roman"/>
          <w:color w:val="auto"/>
          <w:sz w:val="32"/>
          <w:szCs w:val="32"/>
          <w:highlight w:val="none"/>
          <w:lang w:val="en-US" w:eastAsia="zh-CN"/>
        </w:rPr>
        <w:t>镇项目</w:t>
      </w:r>
      <w:r>
        <w:rPr>
          <w:rFonts w:hint="default" w:ascii="Times New Roman" w:hAnsi="Times New Roman" w:eastAsia="仿宋" w:cs="Times New Roman"/>
          <w:color w:val="auto"/>
          <w:sz w:val="32"/>
          <w:szCs w:val="32"/>
          <w:highlight w:val="none"/>
          <w:lang w:val="en-US" w:eastAsia="zh-CN"/>
        </w:rPr>
        <w:t>整治面积近千亩，已通过省级验收460亩（其中新增耕地400亩）；已完成</w:t>
      </w:r>
      <w:r>
        <w:rPr>
          <w:rFonts w:hint="eastAsia" w:ascii="Times New Roman" w:hAnsi="Times New Roman" w:eastAsia="仿宋" w:cs="Times New Roman"/>
          <w:color w:val="auto"/>
          <w:sz w:val="32"/>
          <w:szCs w:val="32"/>
          <w:highlight w:val="none"/>
          <w:lang w:val="en-US" w:eastAsia="zh-CN"/>
        </w:rPr>
        <w:t>汀祖</w:t>
      </w:r>
      <w:r>
        <w:rPr>
          <w:rFonts w:hint="default" w:ascii="Times New Roman" w:hAnsi="Times New Roman" w:eastAsia="仿宋" w:cs="Times New Roman"/>
          <w:color w:val="auto"/>
          <w:sz w:val="32"/>
          <w:szCs w:val="32"/>
          <w:highlight w:val="none"/>
          <w:lang w:val="en-US" w:eastAsia="zh-CN"/>
        </w:rPr>
        <w:t>镇19个村230个村湾170处垃圾无害化处理设施建设及1200个户厕改造工程</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已完成总建设任务的66%。2022年度花湖镇全域国土综合整治项目已完成项目设计招标，正在进行耕地提质改造（旱改水）等子项目施工，2022年度泽林镇全域国土综合整治项目已完成项目设计招标工作</w:t>
      </w:r>
      <w:r>
        <w:rPr>
          <w:rFonts w:hint="eastAsia" w:ascii="Times New Roman" w:hAnsi="Times New Roman" w:eastAsia="仿宋_GB2312"/>
          <w:color w:val="auto"/>
          <w:sz w:val="32"/>
          <w:szCs w:val="32"/>
          <w:highlight w:val="none"/>
          <w:lang w:val="en-US" w:eastAsia="zh-CN"/>
        </w:rPr>
        <w:t>。</w:t>
      </w:r>
    </w:p>
    <w:p w14:paraId="2C3EE7CC">
      <w:pPr>
        <w:keepNext w:val="0"/>
        <w:keepLines w:val="0"/>
        <w:pageBreakBefore w:val="0"/>
        <w:widowControl w:val="0"/>
        <w:numPr>
          <w:ilvl w:val="0"/>
          <w:numId w:val="0"/>
        </w:numPr>
        <w:shd w:val="clear"/>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地籍地政。</w:t>
      </w:r>
      <w:r>
        <w:rPr>
          <w:rFonts w:hint="eastAsia" w:ascii="Times New Roman" w:hAnsi="Times New Roman" w:eastAsia="仿宋" w:cs="Times New Roman"/>
          <w:color w:val="auto"/>
          <w:sz w:val="32"/>
          <w:szCs w:val="32"/>
          <w:highlight w:val="none"/>
          <w:lang w:val="en-US" w:eastAsia="zh-CN"/>
        </w:rPr>
        <w:t>完成全区约62995宗农村宅基地房地一体确权登记外业测量工作，面积609余公顷，目前共发放不动产证16779本；完成2022年土地利用变更调查，涉图斑2008个，并于6月29日由省厅向自然资源部报送最终数据；</w:t>
      </w:r>
      <w:r>
        <w:rPr>
          <w:rFonts w:hint="default" w:ascii="Times New Roman" w:hAnsi="Times New Roman" w:eastAsia="仿宋" w:cs="Times New Roman"/>
          <w:color w:val="auto"/>
          <w:sz w:val="32"/>
          <w:szCs w:val="32"/>
          <w:highlight w:val="none"/>
          <w:lang w:val="en-US" w:eastAsia="zh-CN"/>
        </w:rPr>
        <w:t>持续推进鄂城区不动产登记历史遗留问题工作，目前全区共49个小区24033户办理了首次登记</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33个小区约13216户</w:t>
      </w:r>
      <w:r>
        <w:rPr>
          <w:rFonts w:hint="eastAsia" w:ascii="Times New Roman" w:hAnsi="Times New Roman" w:eastAsia="仿宋" w:cs="Times New Roman"/>
          <w:color w:val="auto"/>
          <w:sz w:val="32"/>
          <w:szCs w:val="32"/>
          <w:highlight w:val="none"/>
          <w:lang w:val="en-US" w:eastAsia="zh-CN"/>
        </w:rPr>
        <w:t>已</w:t>
      </w:r>
      <w:r>
        <w:rPr>
          <w:rFonts w:hint="default" w:ascii="Times New Roman" w:hAnsi="Times New Roman" w:eastAsia="仿宋" w:cs="Times New Roman"/>
          <w:color w:val="auto"/>
          <w:sz w:val="32"/>
          <w:szCs w:val="32"/>
          <w:highlight w:val="none"/>
          <w:lang w:val="en-US" w:eastAsia="zh-CN"/>
        </w:rPr>
        <w:t>办理转移登记。</w:t>
      </w:r>
    </w:p>
    <w:p w14:paraId="6015C862">
      <w:pPr>
        <w:keepNext w:val="0"/>
        <w:keepLines w:val="0"/>
        <w:pageBreakBefore w:val="0"/>
        <w:widowControl w:val="0"/>
        <w:numPr>
          <w:ilvl w:val="0"/>
          <w:numId w:val="0"/>
        </w:numPr>
        <w:shd w:val="clear"/>
        <w:kinsoku/>
        <w:wordWrap/>
        <w:overflowPunct/>
        <w:topLinePunct w:val="0"/>
        <w:autoSpaceDE/>
        <w:autoSpaceDN/>
        <w:bidi w:val="0"/>
        <w:adjustRightInd/>
        <w:snapToGrid/>
        <w:spacing w:line="556" w:lineRule="exact"/>
        <w:ind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优化营商环境。</w:t>
      </w:r>
      <w:r>
        <w:rPr>
          <w:rFonts w:hint="eastAsia" w:ascii="Times New Roman" w:hAnsi="Times New Roman" w:eastAsia="仿宋" w:cs="Times New Roman"/>
          <w:color w:val="auto"/>
          <w:sz w:val="32"/>
          <w:szCs w:val="32"/>
          <w:highlight w:val="none"/>
          <w:lang w:val="en-US" w:eastAsia="zh-CN"/>
        </w:rPr>
        <w:t>推行“一门、一网、一次”联办，缩短办事时间，实现“注销登记、查封登记，解封登记、异议登记即时办结；新建商品房转移登记2个工作日内办结;其他抵押登记、变更登记等3个工作日内办结;工作成效和服务质量得到群众充分肯定和社会好评。</w:t>
      </w:r>
    </w:p>
    <w:p w14:paraId="782D64F1">
      <w:pPr>
        <w:spacing w:before="50" w:line="222" w:lineRule="auto"/>
        <w:ind w:left="495"/>
        <w:rPr>
          <w:rFonts w:ascii="仿宋" w:hAnsi="仿宋" w:eastAsia="仿宋" w:cs="仿宋"/>
          <w:color w:val="auto"/>
          <w:sz w:val="30"/>
          <w:szCs w:val="30"/>
        </w:rPr>
      </w:pPr>
      <w:r>
        <w:rPr>
          <w:rFonts w:hint="eastAsia" w:ascii="仿宋" w:hAnsi="仿宋" w:eastAsia="仿宋" w:cs="仿宋"/>
          <w:color w:val="auto"/>
          <w:spacing w:val="-2"/>
          <w:sz w:val="30"/>
          <w:szCs w:val="30"/>
          <w:lang w:val="en-US" w:eastAsia="zh-CN"/>
        </w:rPr>
        <w:t>2.</w:t>
      </w:r>
      <w:r>
        <w:rPr>
          <w:rFonts w:ascii="仿宋" w:hAnsi="仿宋" w:eastAsia="仿宋" w:cs="仿宋"/>
          <w:color w:val="auto"/>
          <w:spacing w:val="-2"/>
          <w:sz w:val="30"/>
          <w:szCs w:val="30"/>
        </w:rPr>
        <w:t>满意度指标完成情况分析。</w:t>
      </w:r>
    </w:p>
    <w:p w14:paraId="120161F5">
      <w:pPr>
        <w:spacing w:before="262" w:line="370" w:lineRule="auto"/>
        <w:ind w:left="10" w:right="211" w:firstLine="606"/>
        <w:rPr>
          <w:rFonts w:ascii="仿宋" w:hAnsi="仿宋" w:eastAsia="仿宋" w:cs="仿宋"/>
          <w:color w:val="auto"/>
          <w:sz w:val="30"/>
          <w:szCs w:val="30"/>
        </w:rPr>
      </w:pPr>
      <w:r>
        <w:rPr>
          <w:rFonts w:ascii="仿宋" w:hAnsi="仿宋" w:eastAsia="仿宋" w:cs="仿宋"/>
          <w:color w:val="auto"/>
          <w:spacing w:val="-1"/>
          <w:sz w:val="30"/>
          <w:szCs w:val="30"/>
        </w:rPr>
        <w:t>通过林业有害生物防治，提高了全民对松材线虫病危害认识，产生良</w:t>
      </w:r>
      <w:r>
        <w:rPr>
          <w:rFonts w:ascii="仿宋" w:hAnsi="仿宋" w:eastAsia="仿宋" w:cs="仿宋"/>
          <w:color w:val="auto"/>
          <w:spacing w:val="3"/>
          <w:sz w:val="30"/>
          <w:szCs w:val="30"/>
        </w:rPr>
        <w:t xml:space="preserve"> </w:t>
      </w:r>
      <w:r>
        <w:rPr>
          <w:rFonts w:ascii="仿宋" w:hAnsi="仿宋" w:eastAsia="仿宋" w:cs="仿宋"/>
          <w:color w:val="auto"/>
          <w:spacing w:val="-3"/>
          <w:sz w:val="30"/>
          <w:szCs w:val="30"/>
        </w:rPr>
        <w:t>好的社会效益。</w:t>
      </w:r>
    </w:p>
    <w:p w14:paraId="4F1FB2A9">
      <w:pPr>
        <w:spacing w:before="44" w:line="377" w:lineRule="auto"/>
        <w:ind w:left="12" w:right="211" w:firstLine="600"/>
        <w:rPr>
          <w:rFonts w:ascii="仿宋" w:hAnsi="仿宋" w:eastAsia="仿宋" w:cs="仿宋"/>
          <w:color w:val="auto"/>
          <w:sz w:val="30"/>
          <w:szCs w:val="30"/>
        </w:rPr>
      </w:pPr>
      <w:r>
        <w:rPr>
          <w:rFonts w:ascii="仿宋" w:hAnsi="仿宋" w:eastAsia="仿宋" w:cs="仿宋"/>
          <w:color w:val="auto"/>
          <w:spacing w:val="-2"/>
          <w:sz w:val="30"/>
          <w:szCs w:val="30"/>
        </w:rPr>
        <w:t>推行“一门、一网、一次</w:t>
      </w:r>
      <w:r>
        <w:rPr>
          <w:rFonts w:ascii="仿宋" w:hAnsi="仿宋" w:eastAsia="仿宋" w:cs="仿宋"/>
          <w:color w:val="auto"/>
          <w:spacing w:val="-110"/>
          <w:sz w:val="30"/>
          <w:szCs w:val="30"/>
        </w:rPr>
        <w:t xml:space="preserve"> </w:t>
      </w:r>
      <w:r>
        <w:rPr>
          <w:rFonts w:ascii="仿宋" w:hAnsi="仿宋" w:eastAsia="仿宋" w:cs="仿宋"/>
          <w:color w:val="auto"/>
          <w:spacing w:val="-2"/>
          <w:sz w:val="30"/>
          <w:szCs w:val="30"/>
        </w:rPr>
        <w:t>”联办，缩短办事时间，实现“注</w:t>
      </w:r>
      <w:r>
        <w:rPr>
          <w:rFonts w:ascii="仿宋" w:hAnsi="仿宋" w:eastAsia="仿宋" w:cs="仿宋"/>
          <w:color w:val="auto"/>
          <w:spacing w:val="-3"/>
          <w:sz w:val="30"/>
          <w:szCs w:val="30"/>
        </w:rPr>
        <w:t>销登记、</w:t>
      </w:r>
      <w:r>
        <w:rPr>
          <w:rFonts w:ascii="仿宋" w:hAnsi="仿宋" w:eastAsia="仿宋" w:cs="仿宋"/>
          <w:color w:val="auto"/>
          <w:sz w:val="30"/>
          <w:szCs w:val="30"/>
        </w:rPr>
        <w:t xml:space="preserve"> </w:t>
      </w:r>
      <w:r>
        <w:rPr>
          <w:rFonts w:ascii="仿宋" w:hAnsi="仿宋" w:eastAsia="仿宋" w:cs="仿宋"/>
          <w:color w:val="auto"/>
          <w:spacing w:val="-2"/>
          <w:sz w:val="30"/>
          <w:szCs w:val="30"/>
        </w:rPr>
        <w:t>查封登记，解封登记、异议登记即时办结；新建商品房转移登记</w:t>
      </w:r>
      <w:r>
        <w:rPr>
          <w:rFonts w:ascii="仿宋" w:hAnsi="仿宋" w:eastAsia="仿宋" w:cs="仿宋"/>
          <w:color w:val="auto"/>
          <w:spacing w:val="-56"/>
          <w:sz w:val="30"/>
          <w:szCs w:val="30"/>
        </w:rPr>
        <w:t xml:space="preserve"> </w:t>
      </w:r>
      <w:r>
        <w:rPr>
          <w:rFonts w:ascii="仿宋" w:hAnsi="仿宋" w:eastAsia="仿宋" w:cs="仿宋"/>
          <w:color w:val="auto"/>
          <w:spacing w:val="-2"/>
          <w:sz w:val="30"/>
          <w:szCs w:val="30"/>
        </w:rPr>
        <w:t>2</w:t>
      </w:r>
      <w:r>
        <w:rPr>
          <w:rFonts w:ascii="仿宋" w:hAnsi="仿宋" w:eastAsia="仿宋" w:cs="仿宋"/>
          <w:color w:val="auto"/>
          <w:spacing w:val="-54"/>
          <w:sz w:val="30"/>
          <w:szCs w:val="30"/>
        </w:rPr>
        <w:t xml:space="preserve"> </w:t>
      </w:r>
      <w:r>
        <w:rPr>
          <w:rFonts w:ascii="仿宋" w:hAnsi="仿宋" w:eastAsia="仿宋" w:cs="仿宋"/>
          <w:color w:val="auto"/>
          <w:spacing w:val="-2"/>
          <w:sz w:val="30"/>
          <w:szCs w:val="30"/>
        </w:rPr>
        <w:t>个工作</w:t>
      </w:r>
      <w:r>
        <w:rPr>
          <w:rFonts w:ascii="仿宋" w:hAnsi="仿宋" w:eastAsia="仿宋" w:cs="仿宋"/>
          <w:color w:val="auto"/>
          <w:sz w:val="30"/>
          <w:szCs w:val="30"/>
        </w:rPr>
        <w:t xml:space="preserve"> </w:t>
      </w:r>
      <w:r>
        <w:rPr>
          <w:rFonts w:ascii="仿宋" w:hAnsi="仿宋" w:eastAsia="仿宋" w:cs="仿宋"/>
          <w:color w:val="auto"/>
          <w:spacing w:val="-2"/>
          <w:sz w:val="30"/>
          <w:szCs w:val="30"/>
        </w:rPr>
        <w:t>日内办结;其他抵押登记、变更登记等</w:t>
      </w:r>
      <w:r>
        <w:rPr>
          <w:rFonts w:ascii="仿宋" w:hAnsi="仿宋" w:eastAsia="仿宋" w:cs="仿宋"/>
          <w:color w:val="auto"/>
          <w:spacing w:val="-54"/>
          <w:sz w:val="30"/>
          <w:szCs w:val="30"/>
        </w:rPr>
        <w:t xml:space="preserve"> </w:t>
      </w:r>
      <w:r>
        <w:rPr>
          <w:rFonts w:ascii="仿宋" w:hAnsi="仿宋" w:eastAsia="仿宋" w:cs="仿宋"/>
          <w:color w:val="auto"/>
          <w:spacing w:val="-2"/>
          <w:sz w:val="30"/>
          <w:szCs w:val="30"/>
        </w:rPr>
        <w:t>3</w:t>
      </w:r>
      <w:r>
        <w:rPr>
          <w:rFonts w:ascii="仿宋" w:hAnsi="仿宋" w:eastAsia="仿宋" w:cs="仿宋"/>
          <w:color w:val="auto"/>
          <w:spacing w:val="-54"/>
          <w:sz w:val="30"/>
          <w:szCs w:val="30"/>
        </w:rPr>
        <w:t xml:space="preserve"> </w:t>
      </w:r>
      <w:r>
        <w:rPr>
          <w:rFonts w:ascii="仿宋" w:hAnsi="仿宋" w:eastAsia="仿宋" w:cs="仿宋"/>
          <w:color w:val="auto"/>
          <w:spacing w:val="-2"/>
          <w:sz w:val="30"/>
          <w:szCs w:val="30"/>
        </w:rPr>
        <w:t>个工作日内办结;工作成效和服务</w:t>
      </w:r>
      <w:r>
        <w:rPr>
          <w:rFonts w:ascii="仿宋" w:hAnsi="仿宋" w:eastAsia="仿宋" w:cs="仿宋"/>
          <w:color w:val="auto"/>
          <w:sz w:val="30"/>
          <w:szCs w:val="30"/>
        </w:rPr>
        <w:t xml:space="preserve"> </w:t>
      </w:r>
      <w:r>
        <w:rPr>
          <w:rFonts w:ascii="仿宋" w:hAnsi="仿宋" w:eastAsia="仿宋" w:cs="仿宋"/>
          <w:color w:val="auto"/>
          <w:spacing w:val="-2"/>
          <w:sz w:val="30"/>
          <w:szCs w:val="30"/>
        </w:rPr>
        <w:t>质量得到群众充分肯定和社会好评。</w:t>
      </w:r>
    </w:p>
    <w:p w14:paraId="101A262A">
      <w:pPr>
        <w:spacing w:before="47" w:line="222" w:lineRule="auto"/>
        <w:ind w:left="495"/>
        <w:rPr>
          <w:rFonts w:ascii="仿宋" w:hAnsi="仿宋" w:eastAsia="仿宋" w:cs="仿宋"/>
          <w:color w:val="auto"/>
          <w:sz w:val="30"/>
          <w:szCs w:val="30"/>
        </w:rPr>
      </w:pPr>
      <w:r>
        <w:rPr>
          <w:rFonts w:ascii="仿宋" w:hAnsi="仿宋" w:eastAsia="仿宋" w:cs="仿宋"/>
          <w:color w:val="auto"/>
          <w:spacing w:val="-2"/>
          <w:sz w:val="30"/>
          <w:szCs w:val="30"/>
        </w:rPr>
        <w:t>（三）上年度部门整体部门自评结果应用情况</w:t>
      </w:r>
    </w:p>
    <w:p w14:paraId="0251F643">
      <w:pPr>
        <w:spacing w:before="263" w:line="369" w:lineRule="auto"/>
        <w:ind w:left="9" w:firstLine="595"/>
        <w:rPr>
          <w:rFonts w:hint="eastAsia" w:ascii="仿宋" w:hAnsi="仿宋" w:eastAsia="仿宋" w:cs="仿宋"/>
          <w:color w:val="auto"/>
          <w:sz w:val="30"/>
          <w:szCs w:val="30"/>
          <w:lang w:eastAsia="zh-CN"/>
        </w:rPr>
      </w:pPr>
      <w:r>
        <w:rPr>
          <w:rFonts w:ascii="仿宋" w:hAnsi="仿宋" w:eastAsia="仿宋" w:cs="仿宋"/>
          <w:color w:val="auto"/>
          <w:spacing w:val="-7"/>
          <w:sz w:val="30"/>
          <w:szCs w:val="30"/>
        </w:rPr>
        <w:t>202</w:t>
      </w:r>
      <w:r>
        <w:rPr>
          <w:rFonts w:hint="eastAsia" w:ascii="仿宋" w:hAnsi="仿宋" w:eastAsia="仿宋" w:cs="仿宋"/>
          <w:color w:val="auto"/>
          <w:spacing w:val="-7"/>
          <w:sz w:val="30"/>
          <w:szCs w:val="30"/>
          <w:lang w:val="en-US" w:eastAsia="zh-CN"/>
        </w:rPr>
        <w:t>2</w:t>
      </w:r>
      <w:r>
        <w:rPr>
          <w:rFonts w:ascii="仿宋" w:hAnsi="仿宋" w:eastAsia="仿宋" w:cs="仿宋"/>
          <w:color w:val="auto"/>
          <w:spacing w:val="-7"/>
          <w:sz w:val="30"/>
          <w:szCs w:val="30"/>
        </w:rPr>
        <w:t>年度我单位部门整体绩效结果应用情况较好，自评得分为9</w:t>
      </w:r>
      <w:r>
        <w:rPr>
          <w:rFonts w:hint="eastAsia" w:ascii="仿宋" w:hAnsi="仿宋" w:eastAsia="仿宋" w:cs="仿宋"/>
          <w:color w:val="auto"/>
          <w:spacing w:val="-7"/>
          <w:sz w:val="30"/>
          <w:szCs w:val="30"/>
          <w:lang w:val="en-US" w:eastAsia="zh-CN"/>
        </w:rPr>
        <w:t>3</w:t>
      </w:r>
      <w:r>
        <w:rPr>
          <w:rFonts w:ascii="仿宋" w:hAnsi="仿宋" w:eastAsia="仿宋" w:cs="仿宋"/>
          <w:color w:val="auto"/>
          <w:spacing w:val="-7"/>
          <w:sz w:val="30"/>
          <w:szCs w:val="30"/>
        </w:rPr>
        <w:t>.5</w:t>
      </w:r>
      <w:r>
        <w:rPr>
          <w:rFonts w:ascii="仿宋" w:hAnsi="仿宋" w:eastAsia="仿宋" w:cs="仿宋"/>
          <w:color w:val="auto"/>
          <w:spacing w:val="-84"/>
          <w:sz w:val="30"/>
          <w:szCs w:val="30"/>
        </w:rPr>
        <w:t xml:space="preserve"> </w:t>
      </w:r>
      <w:r>
        <w:rPr>
          <w:rFonts w:ascii="仿宋" w:hAnsi="仿宋" w:eastAsia="仿宋" w:cs="仿宋"/>
          <w:color w:val="auto"/>
          <w:spacing w:val="-7"/>
          <w:sz w:val="30"/>
          <w:szCs w:val="30"/>
        </w:rPr>
        <w:t>分</w:t>
      </w:r>
      <w:r>
        <w:rPr>
          <w:rFonts w:hint="eastAsia" w:ascii="仿宋" w:hAnsi="仿宋" w:eastAsia="仿宋" w:cs="仿宋"/>
          <w:color w:val="auto"/>
          <w:spacing w:val="-7"/>
          <w:sz w:val="30"/>
          <w:szCs w:val="30"/>
          <w:lang w:eastAsia="zh-CN"/>
        </w:rPr>
        <w:t>。</w:t>
      </w:r>
    </w:p>
    <w:p w14:paraId="515CD42B">
      <w:pPr>
        <w:spacing w:before="49" w:line="371" w:lineRule="auto"/>
        <w:ind w:left="613" w:right="6631" w:hanging="118"/>
        <w:rPr>
          <w:rFonts w:ascii="仿宋" w:hAnsi="仿宋" w:eastAsia="仿宋" w:cs="仿宋"/>
          <w:color w:val="auto"/>
          <w:sz w:val="30"/>
          <w:szCs w:val="30"/>
        </w:rPr>
      </w:pPr>
      <w:r>
        <w:rPr>
          <w:rFonts w:ascii="仿宋" w:hAnsi="仿宋" w:eastAsia="仿宋" w:cs="仿宋"/>
          <w:color w:val="auto"/>
          <w:spacing w:val="-3"/>
          <w:sz w:val="30"/>
          <w:szCs w:val="30"/>
        </w:rPr>
        <w:t>（四）其他佐证材料</w:t>
      </w:r>
      <w:r>
        <w:rPr>
          <w:rFonts w:ascii="仿宋" w:hAnsi="仿宋" w:eastAsia="仿宋" w:cs="仿宋"/>
          <w:color w:val="auto"/>
          <w:spacing w:val="1"/>
          <w:sz w:val="30"/>
          <w:szCs w:val="30"/>
        </w:rPr>
        <w:t xml:space="preserve"> </w:t>
      </w:r>
      <w:r>
        <w:rPr>
          <w:rFonts w:ascii="仿宋" w:hAnsi="仿宋" w:eastAsia="仿宋" w:cs="仿宋"/>
          <w:color w:val="auto"/>
          <w:sz w:val="30"/>
          <w:szCs w:val="30"/>
        </w:rPr>
        <w:t>无</w:t>
      </w:r>
    </w:p>
    <w:p w14:paraId="3A8E727A">
      <w:pPr>
        <w:spacing w:line="371" w:lineRule="auto"/>
        <w:rPr>
          <w:rFonts w:ascii="仿宋" w:hAnsi="仿宋" w:eastAsia="仿宋" w:cs="仿宋"/>
          <w:color w:val="auto"/>
          <w:sz w:val="30"/>
          <w:szCs w:val="30"/>
        </w:rPr>
        <w:sectPr>
          <w:footerReference r:id="rId14" w:type="default"/>
          <w:pgSz w:w="11906" w:h="16839"/>
          <w:pgMar w:top="668" w:right="1357" w:bottom="1156" w:left="746" w:header="0" w:footer="994" w:gutter="0"/>
          <w:pgBorders>
            <w:top w:val="none" w:sz="0" w:space="0"/>
            <w:left w:val="none" w:sz="0" w:space="0"/>
            <w:bottom w:val="none" w:sz="0" w:space="0"/>
            <w:right w:val="none" w:sz="0" w:space="0"/>
          </w:pgBorders>
          <w:cols w:space="720" w:num="1"/>
        </w:sectPr>
      </w:pPr>
    </w:p>
    <w:p w14:paraId="0E9656BB">
      <w:pPr>
        <w:pStyle w:val="2"/>
        <w:spacing w:before="65" w:line="226" w:lineRule="auto"/>
        <w:ind w:left="1141"/>
        <w:rPr>
          <w:color w:val="auto"/>
        </w:rPr>
      </w:pPr>
      <w:r>
        <w:rPr>
          <w:color w:val="auto"/>
          <w:spacing w:val="6"/>
        </w:rPr>
        <w:t>二、202</w:t>
      </w:r>
      <w:r>
        <w:rPr>
          <w:rFonts w:hint="eastAsia"/>
          <w:color w:val="auto"/>
          <w:spacing w:val="6"/>
          <w:lang w:val="en-US" w:eastAsia="zh-CN"/>
        </w:rPr>
        <w:t>3</w:t>
      </w:r>
      <w:r>
        <w:rPr>
          <w:color w:val="auto"/>
          <w:spacing w:val="-53"/>
        </w:rPr>
        <w:t xml:space="preserve"> </w:t>
      </w:r>
      <w:r>
        <w:rPr>
          <w:color w:val="auto"/>
          <w:spacing w:val="6"/>
        </w:rPr>
        <w:t>年度项目绩效评价报告</w:t>
      </w:r>
    </w:p>
    <w:p w14:paraId="1E949148">
      <w:pPr>
        <w:spacing w:line="269" w:lineRule="auto"/>
        <w:rPr>
          <w:rFonts w:ascii="Arial"/>
          <w:color w:val="auto"/>
          <w:sz w:val="21"/>
        </w:rPr>
      </w:pPr>
    </w:p>
    <w:p w14:paraId="7CC0C5C7">
      <w:pPr>
        <w:shd w:val="clear"/>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鄂城区不动产登记</w:t>
      </w:r>
      <w:r>
        <w:rPr>
          <w:rFonts w:hint="eastAsia" w:ascii="方正小标宋简体" w:hAnsi="宋体" w:eastAsia="方正小标宋简体" w:cs="方正小标宋简体"/>
          <w:sz w:val="44"/>
          <w:szCs w:val="44"/>
        </w:rPr>
        <w:t>项目自评表</w:t>
      </w:r>
      <w:r>
        <w:rPr>
          <w:rFonts w:hint="eastAsia" w:ascii="方正小标宋简体" w:hAnsi="宋体" w:eastAsia="方正小标宋简体" w:cs="方正小标宋简体"/>
          <w:sz w:val="44"/>
          <w:szCs w:val="44"/>
          <w:lang w:val="en-US" w:eastAsia="zh-CN"/>
        </w:rPr>
        <w:t>1</w:t>
      </w:r>
    </w:p>
    <w:p w14:paraId="58E583C1">
      <w:pPr>
        <w:widowControl/>
        <w:shd w:val="clear"/>
        <w:ind w:firstLine="516" w:firstLineChars="200"/>
        <w:jc w:val="left"/>
        <w:rPr>
          <w:rFonts w:hint="default" w:ascii="楷体_GB2312" w:hAnsi="黑体" w:eastAsia="楷体_GB2312" w:cs="Times New Roman"/>
          <w:spacing w:val="-11"/>
          <w:kern w:val="0"/>
          <w:sz w:val="48"/>
          <w:szCs w:val="48"/>
          <w:lang w:val="en-US" w:eastAsia="zh-CN"/>
        </w:rPr>
      </w:pPr>
      <w:r>
        <w:rPr>
          <w:rFonts w:hint="eastAsia" w:ascii="楷体_GB2312" w:hAnsi="仿宋" w:eastAsia="楷体_GB2312" w:cs="楷体_GB2312"/>
          <w:spacing w:val="-11"/>
          <w:kern w:val="0"/>
          <w:sz w:val="28"/>
          <w:szCs w:val="28"/>
        </w:rPr>
        <w:t>单位名称：</w:t>
      </w:r>
      <w:r>
        <w:rPr>
          <w:rFonts w:hint="eastAsia" w:ascii="楷体_GB2312" w:hAnsi="仿宋" w:eastAsia="楷体_GB2312" w:cs="楷体_GB2312"/>
          <w:spacing w:val="-11"/>
          <w:kern w:val="0"/>
          <w:sz w:val="28"/>
          <w:szCs w:val="28"/>
          <w:lang w:eastAsia="zh-CN"/>
        </w:rPr>
        <w:t>市自规局鄂城分局</w:t>
      </w:r>
      <w:r>
        <w:rPr>
          <w:rFonts w:ascii="楷体_GB2312" w:hAnsi="仿宋" w:eastAsia="楷体_GB2312" w:cs="楷体_GB2312"/>
          <w:spacing w:val="-11"/>
          <w:kern w:val="0"/>
          <w:sz w:val="28"/>
          <w:szCs w:val="28"/>
        </w:rPr>
        <w:t xml:space="preserve">  </w:t>
      </w:r>
      <w:r>
        <w:rPr>
          <w:rFonts w:hint="eastAsia" w:ascii="楷体_GB2312" w:hAnsi="仿宋" w:eastAsia="楷体_GB2312" w:cs="楷体_GB2312"/>
          <w:spacing w:val="-11"/>
          <w:kern w:val="0"/>
          <w:sz w:val="28"/>
          <w:szCs w:val="28"/>
          <w:lang w:val="en-US" w:eastAsia="zh-CN"/>
        </w:rPr>
        <w:t xml:space="preserve">       </w:t>
      </w:r>
      <w:r>
        <w:rPr>
          <w:rFonts w:hint="eastAsia" w:ascii="楷体_GB2312" w:hAnsi="仿宋" w:eastAsia="楷体_GB2312" w:cs="楷体_GB2312"/>
          <w:spacing w:val="-11"/>
          <w:kern w:val="0"/>
          <w:sz w:val="28"/>
          <w:szCs w:val="28"/>
        </w:rPr>
        <w:t>报日期：</w:t>
      </w:r>
      <w:r>
        <w:rPr>
          <w:rFonts w:hint="eastAsia" w:ascii="楷体_GB2312" w:hAnsi="仿宋" w:eastAsia="楷体_GB2312" w:cs="楷体_GB2312"/>
          <w:spacing w:val="-11"/>
          <w:kern w:val="0"/>
          <w:sz w:val="28"/>
          <w:szCs w:val="28"/>
          <w:lang w:val="en-US" w:eastAsia="zh-CN"/>
        </w:rPr>
        <w:t>2024年3月19日</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317"/>
        <w:gridCol w:w="1360"/>
        <w:gridCol w:w="895"/>
        <w:gridCol w:w="735"/>
        <w:gridCol w:w="799"/>
        <w:gridCol w:w="1651"/>
        <w:gridCol w:w="1824"/>
      </w:tblGrid>
      <w:tr w14:paraId="57F4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374" w:type="dxa"/>
            <w:gridSpan w:val="2"/>
            <w:vAlign w:val="center"/>
          </w:tcPr>
          <w:p w14:paraId="74ACDDA9">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264" w:type="dxa"/>
            <w:gridSpan w:val="6"/>
            <w:vAlign w:val="center"/>
          </w:tcPr>
          <w:p w14:paraId="626E9369">
            <w:pPr>
              <w:widowControl/>
              <w:shd w:val="clear"/>
              <w:snapToGrid w:val="0"/>
              <w:jc w:val="center"/>
              <w:rPr>
                <w:rFonts w:hint="eastAsia" w:ascii="仿宋_GB2312" w:hAnsi="宋体" w:eastAsia="楷体_GB2312" w:cs="Times New Roman"/>
                <w:kern w:val="0"/>
                <w:lang w:val="en-US" w:eastAsia="zh-CN"/>
              </w:rPr>
            </w:pPr>
            <w:r>
              <w:rPr>
                <w:rFonts w:hint="eastAsia" w:ascii="楷体_GB2312" w:hAnsi="仿宋" w:eastAsia="楷体_GB2312" w:cs="楷体_GB2312"/>
                <w:spacing w:val="-11"/>
                <w:kern w:val="0"/>
                <w:sz w:val="28"/>
                <w:szCs w:val="28"/>
                <w:lang w:eastAsia="zh-CN"/>
              </w:rPr>
              <w:t>鄂城区不动产登记项目</w:t>
            </w:r>
            <w:r>
              <w:rPr>
                <w:rFonts w:hint="eastAsia" w:ascii="楷体_GB2312" w:hAnsi="仿宋" w:eastAsia="楷体_GB2312" w:cs="楷体_GB2312"/>
                <w:spacing w:val="-11"/>
                <w:kern w:val="0"/>
                <w:sz w:val="28"/>
                <w:szCs w:val="28"/>
                <w:lang w:val="en-US" w:eastAsia="zh-CN"/>
              </w:rPr>
              <w:t>(不动产登记信息化建设）</w:t>
            </w:r>
          </w:p>
        </w:tc>
      </w:tr>
      <w:tr w14:paraId="5BB6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dxa"/>
            <w:gridSpan w:val="2"/>
            <w:vAlign w:val="center"/>
          </w:tcPr>
          <w:p w14:paraId="5039E03C">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990" w:type="dxa"/>
            <w:gridSpan w:val="3"/>
            <w:vAlign w:val="center"/>
          </w:tcPr>
          <w:p w14:paraId="556715B3">
            <w:pPr>
              <w:widowControl/>
              <w:shd w:val="clear"/>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市自然资源和规划局鄂城分局</w:t>
            </w:r>
            <w:r>
              <w:rPr>
                <w:rFonts w:hint="eastAsia" w:ascii="仿宋_GB2312" w:hAnsi="宋体" w:eastAsia="仿宋_GB2312" w:cs="仿宋_GB2312"/>
                <w:kern w:val="0"/>
              </w:rPr>
              <w:t>　</w:t>
            </w:r>
          </w:p>
        </w:tc>
        <w:tc>
          <w:tcPr>
            <w:tcW w:w="2450" w:type="dxa"/>
            <w:gridSpan w:val="2"/>
            <w:vAlign w:val="center"/>
          </w:tcPr>
          <w:p w14:paraId="46015F78">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824" w:type="dxa"/>
            <w:vAlign w:val="center"/>
          </w:tcPr>
          <w:p w14:paraId="24941AB3">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市自然资源和规划局鄂城分局</w:t>
            </w:r>
            <w:r>
              <w:rPr>
                <w:rFonts w:hint="eastAsia" w:ascii="仿宋_GB2312" w:hAnsi="宋体" w:eastAsia="仿宋_GB2312" w:cs="仿宋_GB2312"/>
                <w:kern w:val="0"/>
              </w:rPr>
              <w:t>　</w:t>
            </w:r>
          </w:p>
        </w:tc>
      </w:tr>
      <w:tr w14:paraId="4BE0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374" w:type="dxa"/>
            <w:gridSpan w:val="2"/>
            <w:vAlign w:val="center"/>
          </w:tcPr>
          <w:p w14:paraId="6E9C4159">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264" w:type="dxa"/>
            <w:gridSpan w:val="6"/>
            <w:vAlign w:val="center"/>
          </w:tcPr>
          <w:p w14:paraId="1702A26D">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237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74" w:type="dxa"/>
            <w:gridSpan w:val="2"/>
            <w:vAlign w:val="center"/>
          </w:tcPr>
          <w:p w14:paraId="3AEB80F2">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264" w:type="dxa"/>
            <w:gridSpan w:val="6"/>
            <w:vAlign w:val="center"/>
          </w:tcPr>
          <w:p w14:paraId="01828765">
            <w:pPr>
              <w:widowControl/>
              <w:shd w:val="clear"/>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14:paraId="17B1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374" w:type="dxa"/>
            <w:gridSpan w:val="2"/>
            <w:vAlign w:val="center"/>
          </w:tcPr>
          <w:p w14:paraId="374280B0">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264" w:type="dxa"/>
            <w:gridSpan w:val="6"/>
            <w:vAlign w:val="center"/>
          </w:tcPr>
          <w:p w14:paraId="41090FA2">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236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74" w:type="dxa"/>
            <w:gridSpan w:val="2"/>
            <w:vMerge w:val="restart"/>
            <w:vAlign w:val="center"/>
          </w:tcPr>
          <w:p w14:paraId="75DB0B6C">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360" w:type="dxa"/>
            <w:vAlign w:val="center"/>
          </w:tcPr>
          <w:p w14:paraId="7268CEF4">
            <w:pPr>
              <w:widowControl/>
              <w:shd w:val="clear"/>
              <w:snapToGrid w:val="0"/>
              <w:jc w:val="center"/>
              <w:rPr>
                <w:rFonts w:ascii="仿宋_GB2312" w:hAnsi="宋体" w:eastAsia="仿宋_GB2312" w:cs="Times New Roman"/>
                <w:kern w:val="0"/>
              </w:rPr>
            </w:pPr>
          </w:p>
        </w:tc>
        <w:tc>
          <w:tcPr>
            <w:tcW w:w="895" w:type="dxa"/>
            <w:vAlign w:val="center"/>
          </w:tcPr>
          <w:p w14:paraId="0E50832E">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34" w:type="dxa"/>
            <w:gridSpan w:val="2"/>
            <w:vAlign w:val="center"/>
          </w:tcPr>
          <w:p w14:paraId="3E261F8B">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475" w:type="dxa"/>
            <w:gridSpan w:val="2"/>
            <w:vAlign w:val="center"/>
          </w:tcPr>
          <w:p w14:paraId="710BAC4C">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1B1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dxa"/>
            <w:gridSpan w:val="2"/>
            <w:vMerge w:val="continue"/>
            <w:vAlign w:val="center"/>
          </w:tcPr>
          <w:p w14:paraId="3C7A4AB5">
            <w:pPr>
              <w:widowControl/>
              <w:shd w:val="clear"/>
              <w:snapToGrid w:val="0"/>
              <w:jc w:val="center"/>
              <w:rPr>
                <w:rFonts w:ascii="仿宋_GB2312" w:hAnsi="宋体" w:eastAsia="仿宋_GB2312" w:cs="Times New Roman"/>
                <w:kern w:val="0"/>
              </w:rPr>
            </w:pPr>
          </w:p>
        </w:tc>
        <w:tc>
          <w:tcPr>
            <w:tcW w:w="1360" w:type="dxa"/>
            <w:vAlign w:val="center"/>
          </w:tcPr>
          <w:p w14:paraId="58A56C7D">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895" w:type="dxa"/>
            <w:vAlign w:val="center"/>
          </w:tcPr>
          <w:p w14:paraId="6B9A7EDE">
            <w:pPr>
              <w:widowControl/>
              <w:shd w:val="clea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55.45</w:t>
            </w:r>
          </w:p>
        </w:tc>
        <w:tc>
          <w:tcPr>
            <w:tcW w:w="1534" w:type="dxa"/>
            <w:gridSpan w:val="2"/>
            <w:vAlign w:val="center"/>
          </w:tcPr>
          <w:p w14:paraId="48234C1C">
            <w:pPr>
              <w:widowControl/>
              <w:shd w:val="clea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55.45</w:t>
            </w:r>
          </w:p>
        </w:tc>
        <w:tc>
          <w:tcPr>
            <w:tcW w:w="3475" w:type="dxa"/>
            <w:gridSpan w:val="2"/>
            <w:vAlign w:val="center"/>
          </w:tcPr>
          <w:p w14:paraId="445A61D0">
            <w:pPr>
              <w:widowControl/>
              <w:shd w:val="clear"/>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1179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7" w:type="dxa"/>
            <w:vMerge w:val="restart"/>
            <w:vAlign w:val="center"/>
          </w:tcPr>
          <w:p w14:paraId="6F14B205">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04B4CE59">
            <w:pPr>
              <w:widowControl/>
              <w:shd w:val="clear"/>
              <w:snapToGrid w:val="0"/>
              <w:jc w:val="center"/>
              <w:rPr>
                <w:rFonts w:ascii="仿宋_GB2312" w:hAnsi="宋体" w:eastAsia="仿宋_GB2312" w:cs="Times New Roman"/>
                <w:kern w:val="0"/>
              </w:rPr>
            </w:pPr>
          </w:p>
        </w:tc>
        <w:tc>
          <w:tcPr>
            <w:tcW w:w="1317" w:type="dxa"/>
            <w:vAlign w:val="center"/>
          </w:tcPr>
          <w:p w14:paraId="38AC9608">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360" w:type="dxa"/>
            <w:vAlign w:val="center"/>
          </w:tcPr>
          <w:p w14:paraId="1F7B8BBB">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29" w:type="dxa"/>
            <w:gridSpan w:val="3"/>
            <w:vAlign w:val="center"/>
          </w:tcPr>
          <w:p w14:paraId="0E9EE62D">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51" w:type="dxa"/>
            <w:vAlign w:val="center"/>
          </w:tcPr>
          <w:p w14:paraId="05B1C828">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824" w:type="dxa"/>
            <w:vAlign w:val="center"/>
          </w:tcPr>
          <w:p w14:paraId="4BDB525C">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6E20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57" w:type="dxa"/>
            <w:vMerge w:val="continue"/>
            <w:vAlign w:val="center"/>
          </w:tcPr>
          <w:p w14:paraId="4917ED41">
            <w:pPr>
              <w:shd w:val="clear"/>
              <w:snapToGrid w:val="0"/>
              <w:jc w:val="center"/>
              <w:rPr>
                <w:rFonts w:ascii="仿宋_GB2312" w:hAnsi="宋体" w:eastAsia="仿宋_GB2312" w:cs="Times New Roman"/>
                <w:kern w:val="0"/>
              </w:rPr>
            </w:pPr>
          </w:p>
        </w:tc>
        <w:tc>
          <w:tcPr>
            <w:tcW w:w="1317" w:type="dxa"/>
            <w:vMerge w:val="restart"/>
            <w:vAlign w:val="center"/>
          </w:tcPr>
          <w:p w14:paraId="7C4FA6AC">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360" w:type="dxa"/>
            <w:vMerge w:val="restart"/>
            <w:shd w:val="clear" w:color="auto" w:fill="auto"/>
            <w:vAlign w:val="center"/>
          </w:tcPr>
          <w:p w14:paraId="586872D0">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429" w:type="dxa"/>
            <w:gridSpan w:val="3"/>
            <w:shd w:val="clear" w:color="auto" w:fill="auto"/>
            <w:vAlign w:val="center"/>
          </w:tcPr>
          <w:p w14:paraId="48E6B5E1">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rPr>
              <w:t>其他抵押、变更、转移登记数量</w:t>
            </w:r>
          </w:p>
        </w:tc>
        <w:tc>
          <w:tcPr>
            <w:tcW w:w="1651" w:type="dxa"/>
            <w:shd w:val="clear" w:color="auto" w:fill="auto"/>
            <w:vAlign w:val="center"/>
          </w:tcPr>
          <w:p w14:paraId="71C0BE45">
            <w:pPr>
              <w:widowControl/>
              <w:shd w:val="clear"/>
              <w:snapToGrid w:val="0"/>
              <w:jc w:val="center"/>
              <w:rPr>
                <w:rFonts w:ascii="仿宋_GB2312" w:hAnsi="宋体" w:eastAsia="仿宋_GB2312" w:cs="Times New Roman"/>
                <w:kern w:val="0"/>
              </w:rPr>
            </w:pPr>
            <w:r>
              <w:rPr>
                <w:rFonts w:hint="eastAsia"/>
              </w:rPr>
              <w:t>≥2000件</w:t>
            </w:r>
          </w:p>
        </w:tc>
        <w:tc>
          <w:tcPr>
            <w:tcW w:w="1824" w:type="dxa"/>
            <w:shd w:val="clear" w:color="auto" w:fill="auto"/>
            <w:vAlign w:val="center"/>
          </w:tcPr>
          <w:p w14:paraId="1000B8EA">
            <w:pPr>
              <w:widowControl/>
              <w:shd w:val="clear"/>
              <w:snapToGrid w:val="0"/>
              <w:jc w:val="center"/>
              <w:rPr>
                <w:rFonts w:hint="eastAsia" w:ascii="仿宋_GB2312" w:hAnsi="宋体" w:eastAsia="仿宋_GB2312" w:cs="Times New Roman"/>
                <w:kern w:val="0"/>
                <w:highlight w:val="none"/>
                <w:lang w:eastAsia="zh-CN"/>
              </w:rPr>
            </w:pPr>
            <w:r>
              <w:rPr>
                <w:rFonts w:hint="eastAsia"/>
              </w:rPr>
              <w:t>≥2000件</w:t>
            </w:r>
          </w:p>
        </w:tc>
      </w:tr>
      <w:tr w14:paraId="0D82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57" w:type="dxa"/>
            <w:vMerge w:val="continue"/>
            <w:vAlign w:val="center"/>
          </w:tcPr>
          <w:p w14:paraId="2A4514DA">
            <w:pPr>
              <w:shd w:val="clear"/>
              <w:snapToGrid w:val="0"/>
              <w:jc w:val="center"/>
              <w:rPr>
                <w:rFonts w:ascii="仿宋_GB2312" w:hAnsi="宋体" w:eastAsia="仿宋_GB2312" w:cs="Times New Roman"/>
                <w:kern w:val="0"/>
              </w:rPr>
            </w:pPr>
          </w:p>
        </w:tc>
        <w:tc>
          <w:tcPr>
            <w:tcW w:w="1317" w:type="dxa"/>
            <w:vMerge w:val="continue"/>
            <w:vAlign w:val="center"/>
          </w:tcPr>
          <w:p w14:paraId="08AB9106">
            <w:pPr>
              <w:widowControl/>
              <w:shd w:val="clear"/>
              <w:snapToGrid w:val="0"/>
              <w:jc w:val="center"/>
              <w:rPr>
                <w:rFonts w:ascii="仿宋_GB2312" w:hAnsi="宋体" w:eastAsia="仿宋_GB2312" w:cs="Times New Roman"/>
                <w:kern w:val="0"/>
              </w:rPr>
            </w:pPr>
          </w:p>
        </w:tc>
        <w:tc>
          <w:tcPr>
            <w:tcW w:w="1360" w:type="dxa"/>
            <w:vMerge w:val="continue"/>
            <w:shd w:val="clear" w:color="auto" w:fill="auto"/>
            <w:vAlign w:val="center"/>
          </w:tcPr>
          <w:p w14:paraId="51B4730C">
            <w:pPr>
              <w:widowControl/>
              <w:shd w:val="clear"/>
              <w:snapToGrid w:val="0"/>
              <w:jc w:val="center"/>
              <w:rPr>
                <w:rFonts w:ascii="仿宋_GB2312" w:hAnsi="宋体" w:eastAsia="仿宋_GB2312" w:cs="Times New Roman"/>
                <w:kern w:val="0"/>
              </w:rPr>
            </w:pPr>
          </w:p>
        </w:tc>
        <w:tc>
          <w:tcPr>
            <w:tcW w:w="2429" w:type="dxa"/>
            <w:gridSpan w:val="3"/>
            <w:shd w:val="clear" w:color="auto" w:fill="auto"/>
            <w:vAlign w:val="center"/>
          </w:tcPr>
          <w:p w14:paraId="4D7F3541">
            <w:pPr>
              <w:widowControl/>
              <w:shd w:val="clear"/>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实现互相网+不动产登记网上受理数量</w:t>
            </w:r>
          </w:p>
        </w:tc>
        <w:tc>
          <w:tcPr>
            <w:tcW w:w="1651" w:type="dxa"/>
            <w:shd w:val="clear" w:color="auto" w:fill="auto"/>
            <w:vAlign w:val="center"/>
          </w:tcPr>
          <w:p w14:paraId="625D5E2E">
            <w:pPr>
              <w:widowControl/>
              <w:shd w:val="clear"/>
              <w:tabs>
                <w:tab w:val="left" w:pos="311"/>
              </w:tabs>
              <w:snapToGrid w:val="0"/>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ab/>
            </w:r>
            <w:r>
              <w:rPr>
                <w:rFonts w:hint="eastAsia" w:ascii="仿宋_GB2312" w:hAnsi="宋体" w:eastAsia="仿宋_GB2312" w:cs="Times New Roman"/>
                <w:kern w:val="0"/>
                <w:lang w:val="en-US" w:eastAsia="zh-CN"/>
              </w:rPr>
              <w:t>≥150件</w:t>
            </w:r>
          </w:p>
        </w:tc>
        <w:tc>
          <w:tcPr>
            <w:tcW w:w="1824" w:type="dxa"/>
            <w:shd w:val="clear" w:color="auto" w:fill="auto"/>
            <w:vAlign w:val="center"/>
          </w:tcPr>
          <w:p w14:paraId="05047ECC">
            <w:pPr>
              <w:widowControl/>
              <w:shd w:val="clear"/>
              <w:tabs>
                <w:tab w:val="left" w:pos="311"/>
              </w:tabs>
              <w:snapToGrid w:val="0"/>
              <w:jc w:val="left"/>
              <w:rPr>
                <w:rFonts w:hint="eastAsia" w:ascii="仿宋_GB2312" w:hAnsi="宋体" w:eastAsia="仿宋_GB2312" w:cs="Times New Roman"/>
                <w:kern w:val="0"/>
                <w:highlight w:val="none"/>
                <w:lang w:val="en-US" w:eastAsia="zh-CN"/>
              </w:rPr>
            </w:pPr>
            <w:r>
              <w:rPr>
                <w:rFonts w:hint="eastAsia" w:ascii="仿宋_GB2312" w:hAnsi="宋体" w:eastAsia="仿宋_GB2312" w:cs="Times New Roman"/>
                <w:kern w:val="0"/>
                <w:lang w:val="en-US" w:eastAsia="zh-CN"/>
              </w:rPr>
              <w:tab/>
            </w:r>
            <w:r>
              <w:rPr>
                <w:rFonts w:hint="eastAsia" w:ascii="仿宋_GB2312" w:hAnsi="宋体" w:eastAsia="仿宋_GB2312" w:cs="Times New Roman"/>
                <w:kern w:val="0"/>
                <w:lang w:val="en-US" w:eastAsia="zh-CN"/>
              </w:rPr>
              <w:t>≥150件</w:t>
            </w:r>
          </w:p>
        </w:tc>
      </w:tr>
      <w:tr w14:paraId="00C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57" w:type="dxa"/>
            <w:vMerge w:val="continue"/>
            <w:vAlign w:val="center"/>
          </w:tcPr>
          <w:p w14:paraId="1381F330">
            <w:pPr>
              <w:shd w:val="clear"/>
              <w:snapToGrid w:val="0"/>
              <w:jc w:val="center"/>
              <w:rPr>
                <w:rFonts w:ascii="仿宋_GB2312" w:hAnsi="宋体" w:eastAsia="仿宋_GB2312" w:cs="Times New Roman"/>
                <w:kern w:val="0"/>
              </w:rPr>
            </w:pPr>
          </w:p>
        </w:tc>
        <w:tc>
          <w:tcPr>
            <w:tcW w:w="1317" w:type="dxa"/>
            <w:vMerge w:val="continue"/>
            <w:vAlign w:val="center"/>
          </w:tcPr>
          <w:p w14:paraId="33BA9531">
            <w:pPr>
              <w:widowControl/>
              <w:shd w:val="clear"/>
              <w:snapToGrid w:val="0"/>
              <w:jc w:val="center"/>
              <w:rPr>
                <w:rFonts w:ascii="仿宋_GB2312" w:hAnsi="宋体" w:eastAsia="仿宋_GB2312" w:cs="Times New Roman"/>
                <w:kern w:val="0"/>
              </w:rPr>
            </w:pPr>
          </w:p>
        </w:tc>
        <w:tc>
          <w:tcPr>
            <w:tcW w:w="1360" w:type="dxa"/>
            <w:vMerge w:val="continue"/>
            <w:shd w:val="clear" w:color="auto" w:fill="auto"/>
            <w:vAlign w:val="center"/>
          </w:tcPr>
          <w:p w14:paraId="671B9115">
            <w:pPr>
              <w:widowControl/>
              <w:shd w:val="clear"/>
              <w:snapToGrid w:val="0"/>
              <w:jc w:val="center"/>
              <w:rPr>
                <w:rFonts w:ascii="仿宋_GB2312" w:hAnsi="宋体" w:eastAsia="仿宋_GB2312" w:cs="Times New Roman"/>
                <w:kern w:val="0"/>
              </w:rPr>
            </w:pPr>
          </w:p>
        </w:tc>
        <w:tc>
          <w:tcPr>
            <w:tcW w:w="2429" w:type="dxa"/>
            <w:gridSpan w:val="3"/>
            <w:shd w:val="clear" w:color="auto" w:fill="auto"/>
            <w:vAlign w:val="center"/>
          </w:tcPr>
          <w:p w14:paraId="1860A545">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rPr>
              <w:t>不动产档案查询利用人次</w:t>
            </w:r>
          </w:p>
        </w:tc>
        <w:tc>
          <w:tcPr>
            <w:tcW w:w="1651" w:type="dxa"/>
            <w:shd w:val="clear" w:color="auto" w:fill="auto"/>
            <w:vAlign w:val="center"/>
          </w:tcPr>
          <w:p w14:paraId="5BE43713">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≥1800件</w:t>
            </w:r>
          </w:p>
        </w:tc>
        <w:tc>
          <w:tcPr>
            <w:tcW w:w="1824" w:type="dxa"/>
            <w:shd w:val="clear" w:color="auto" w:fill="auto"/>
            <w:vAlign w:val="center"/>
          </w:tcPr>
          <w:p w14:paraId="5A098A77">
            <w:pPr>
              <w:widowControl/>
              <w:shd w:val="clear"/>
              <w:snapToGrid w:val="0"/>
              <w:jc w:val="center"/>
              <w:rPr>
                <w:rFonts w:ascii="仿宋_GB2312" w:hAnsi="宋体" w:eastAsia="仿宋_GB2312" w:cs="Times New Roman"/>
                <w:kern w:val="0"/>
                <w:highlight w:val="none"/>
              </w:rPr>
            </w:pPr>
            <w:r>
              <w:rPr>
                <w:rFonts w:hint="eastAsia" w:ascii="仿宋_GB2312" w:hAnsi="宋体" w:eastAsia="仿宋_GB2312" w:cs="Times New Roman"/>
                <w:kern w:val="0"/>
                <w:lang w:val="en-US" w:eastAsia="zh-CN"/>
              </w:rPr>
              <w:t>≥1800件</w:t>
            </w:r>
          </w:p>
        </w:tc>
      </w:tr>
      <w:tr w14:paraId="2DA3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57" w:type="dxa"/>
            <w:vMerge w:val="continue"/>
            <w:vAlign w:val="center"/>
          </w:tcPr>
          <w:p w14:paraId="190DDDB4">
            <w:pPr>
              <w:shd w:val="clear"/>
              <w:snapToGrid w:val="0"/>
              <w:jc w:val="center"/>
              <w:rPr>
                <w:rFonts w:ascii="仿宋_GB2312" w:hAnsi="宋体" w:eastAsia="仿宋_GB2312" w:cs="Times New Roman"/>
                <w:kern w:val="0"/>
              </w:rPr>
            </w:pPr>
          </w:p>
        </w:tc>
        <w:tc>
          <w:tcPr>
            <w:tcW w:w="1317" w:type="dxa"/>
            <w:vMerge w:val="continue"/>
            <w:vAlign w:val="center"/>
          </w:tcPr>
          <w:p w14:paraId="2A6EE789">
            <w:pPr>
              <w:widowControl/>
              <w:shd w:val="clear"/>
              <w:snapToGrid w:val="0"/>
              <w:jc w:val="center"/>
              <w:rPr>
                <w:rFonts w:ascii="仿宋_GB2312" w:hAnsi="宋体" w:eastAsia="仿宋_GB2312" w:cs="Times New Roman"/>
                <w:kern w:val="0"/>
              </w:rPr>
            </w:pPr>
          </w:p>
        </w:tc>
        <w:tc>
          <w:tcPr>
            <w:tcW w:w="1360" w:type="dxa"/>
            <w:shd w:val="clear" w:color="auto" w:fill="auto"/>
            <w:vAlign w:val="center"/>
          </w:tcPr>
          <w:p w14:paraId="4364EE71">
            <w:pPr>
              <w:widowControl/>
              <w:shd w:val="clear"/>
              <w:snapToGrid w:val="0"/>
              <w:jc w:val="center"/>
              <w:rPr>
                <w:rFonts w:hint="eastAsia" w:ascii="仿宋_GB2312" w:hAnsi="宋体" w:eastAsia="仿宋_GB2312" w:cs="仿宋_GB2312"/>
                <w:kern w:val="0"/>
              </w:rPr>
            </w:pPr>
            <w:r>
              <w:rPr>
                <w:rFonts w:hint="eastAsia" w:ascii="仿宋_GB2312" w:hAnsi="宋体" w:eastAsia="仿宋_GB2312" w:cs="仿宋_GB2312"/>
                <w:kern w:val="0"/>
              </w:rPr>
              <w:t>质量指标</w:t>
            </w:r>
          </w:p>
        </w:tc>
        <w:tc>
          <w:tcPr>
            <w:tcW w:w="2429" w:type="dxa"/>
            <w:gridSpan w:val="3"/>
            <w:shd w:val="clear" w:color="auto" w:fill="auto"/>
            <w:vAlign w:val="center"/>
          </w:tcPr>
          <w:p w14:paraId="7043DD2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系统运行正常率</w:t>
            </w:r>
          </w:p>
        </w:tc>
        <w:tc>
          <w:tcPr>
            <w:tcW w:w="1651" w:type="dxa"/>
            <w:shd w:val="clear" w:color="auto" w:fill="auto"/>
            <w:vAlign w:val="center"/>
          </w:tcPr>
          <w:p w14:paraId="4A7218E5">
            <w:pPr>
              <w:widowControl/>
              <w:shd w:val="clear"/>
              <w:snapToGrid w:val="0"/>
              <w:jc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100.00%</w:t>
            </w:r>
          </w:p>
        </w:tc>
        <w:tc>
          <w:tcPr>
            <w:tcW w:w="1824" w:type="dxa"/>
            <w:shd w:val="clear" w:color="auto" w:fill="auto"/>
            <w:vAlign w:val="center"/>
          </w:tcPr>
          <w:p w14:paraId="07B587D2">
            <w:pPr>
              <w:widowControl/>
              <w:shd w:val="clear"/>
              <w:snapToGrid w:val="0"/>
              <w:jc w:val="center"/>
              <w:rPr>
                <w:rFonts w:ascii="仿宋_GB2312" w:hAnsi="宋体" w:eastAsia="仿宋_GB2312" w:cs="Times New Roman"/>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highlight w:val="none"/>
                <w:u w:val="none"/>
                <w:lang w:val="en-US" w:eastAsia="zh-CN" w:bidi="ar"/>
              </w:rPr>
              <w:t>100.00%</w:t>
            </w:r>
          </w:p>
        </w:tc>
      </w:tr>
      <w:tr w14:paraId="5283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57" w:type="dxa"/>
            <w:vMerge w:val="continue"/>
            <w:vAlign w:val="center"/>
          </w:tcPr>
          <w:p w14:paraId="34FC04D1">
            <w:pPr>
              <w:shd w:val="clear"/>
              <w:snapToGrid w:val="0"/>
              <w:jc w:val="center"/>
              <w:rPr>
                <w:rFonts w:ascii="仿宋_GB2312" w:hAnsi="宋体" w:eastAsia="仿宋_GB2312" w:cs="Times New Roman"/>
                <w:kern w:val="0"/>
              </w:rPr>
            </w:pPr>
          </w:p>
        </w:tc>
        <w:tc>
          <w:tcPr>
            <w:tcW w:w="1317" w:type="dxa"/>
            <w:vMerge w:val="continue"/>
            <w:vAlign w:val="center"/>
          </w:tcPr>
          <w:p w14:paraId="2884F201">
            <w:pPr>
              <w:widowControl/>
              <w:shd w:val="clear"/>
              <w:snapToGrid w:val="0"/>
              <w:jc w:val="center"/>
              <w:rPr>
                <w:rFonts w:ascii="仿宋_GB2312" w:hAnsi="宋体" w:eastAsia="仿宋_GB2312" w:cs="Times New Roman"/>
                <w:kern w:val="0"/>
              </w:rPr>
            </w:pPr>
          </w:p>
        </w:tc>
        <w:tc>
          <w:tcPr>
            <w:tcW w:w="1360" w:type="dxa"/>
            <w:shd w:val="clear" w:color="auto" w:fill="auto"/>
            <w:vAlign w:val="center"/>
          </w:tcPr>
          <w:p w14:paraId="02967B65">
            <w:pPr>
              <w:widowControl/>
              <w:shd w:val="clear"/>
              <w:snapToGrid w:val="0"/>
              <w:jc w:val="center"/>
              <w:rPr>
                <w:rFonts w:hint="default" w:ascii="仿宋_GB2312" w:hAnsi="宋体" w:eastAsia="仿宋_GB2312" w:cs="Times New Roman"/>
                <w:kern w:val="0"/>
                <w:sz w:val="21"/>
                <w:szCs w:val="22"/>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时效指标</w:t>
            </w:r>
          </w:p>
        </w:tc>
        <w:tc>
          <w:tcPr>
            <w:tcW w:w="2429" w:type="dxa"/>
            <w:gridSpan w:val="3"/>
            <w:shd w:val="clear" w:color="auto" w:fill="auto"/>
            <w:vAlign w:val="center"/>
          </w:tcPr>
          <w:p w14:paraId="5A3CCE6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限时办结率</w:t>
            </w:r>
          </w:p>
        </w:tc>
        <w:tc>
          <w:tcPr>
            <w:tcW w:w="1651" w:type="dxa"/>
            <w:shd w:val="clear" w:color="auto" w:fill="auto"/>
            <w:vAlign w:val="center"/>
          </w:tcPr>
          <w:p w14:paraId="336F17B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100.00%</w:t>
            </w:r>
          </w:p>
        </w:tc>
        <w:tc>
          <w:tcPr>
            <w:tcW w:w="1824" w:type="dxa"/>
            <w:shd w:val="clear" w:color="auto" w:fill="auto"/>
            <w:vAlign w:val="center"/>
          </w:tcPr>
          <w:p w14:paraId="788A26A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100.00%</w:t>
            </w:r>
          </w:p>
        </w:tc>
      </w:tr>
      <w:tr w14:paraId="51C4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57" w:type="dxa"/>
            <w:vMerge w:val="continue"/>
            <w:vAlign w:val="center"/>
          </w:tcPr>
          <w:p w14:paraId="70FDBA83">
            <w:pPr>
              <w:shd w:val="clear"/>
              <w:snapToGrid w:val="0"/>
              <w:jc w:val="center"/>
              <w:rPr>
                <w:rFonts w:ascii="仿宋_GB2312" w:hAnsi="宋体" w:eastAsia="仿宋_GB2312" w:cs="Times New Roman"/>
                <w:kern w:val="0"/>
              </w:rPr>
            </w:pPr>
          </w:p>
        </w:tc>
        <w:tc>
          <w:tcPr>
            <w:tcW w:w="1317" w:type="dxa"/>
            <w:vMerge w:val="continue"/>
            <w:vAlign w:val="center"/>
          </w:tcPr>
          <w:p w14:paraId="53D58C35">
            <w:pPr>
              <w:widowControl/>
              <w:shd w:val="clear"/>
              <w:snapToGrid w:val="0"/>
              <w:jc w:val="center"/>
              <w:rPr>
                <w:rFonts w:ascii="仿宋_GB2312" w:hAnsi="宋体" w:eastAsia="仿宋_GB2312" w:cs="Times New Roman"/>
                <w:kern w:val="0"/>
              </w:rPr>
            </w:pPr>
          </w:p>
        </w:tc>
        <w:tc>
          <w:tcPr>
            <w:tcW w:w="1360" w:type="dxa"/>
            <w:vMerge w:val="restart"/>
            <w:shd w:val="clear" w:color="auto" w:fill="auto"/>
            <w:vAlign w:val="center"/>
          </w:tcPr>
          <w:p w14:paraId="09A4B899">
            <w:pPr>
              <w:widowControl/>
              <w:shd w:val="clear"/>
              <w:snapToGrid w:val="0"/>
              <w:jc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成本指标</w:t>
            </w:r>
          </w:p>
        </w:tc>
        <w:tc>
          <w:tcPr>
            <w:tcW w:w="2429" w:type="dxa"/>
            <w:gridSpan w:val="3"/>
            <w:shd w:val="clear" w:color="auto" w:fill="auto"/>
            <w:vAlign w:val="center"/>
          </w:tcPr>
          <w:p w14:paraId="105E905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51" w:type="dxa"/>
            <w:shd w:val="clear" w:color="auto" w:fill="auto"/>
            <w:vAlign w:val="center"/>
          </w:tcPr>
          <w:p w14:paraId="1F17E66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824" w:type="dxa"/>
            <w:shd w:val="clear" w:color="auto" w:fill="EEECE1" w:themeFill="background2"/>
            <w:vAlign w:val="center"/>
          </w:tcPr>
          <w:p w14:paraId="12169DF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38E4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57" w:type="dxa"/>
            <w:vMerge w:val="continue"/>
            <w:vAlign w:val="center"/>
          </w:tcPr>
          <w:p w14:paraId="5E6E9D6D">
            <w:pPr>
              <w:shd w:val="clear"/>
              <w:snapToGrid w:val="0"/>
              <w:jc w:val="center"/>
              <w:rPr>
                <w:rFonts w:ascii="仿宋_GB2312" w:hAnsi="宋体" w:eastAsia="仿宋_GB2312" w:cs="Times New Roman"/>
                <w:kern w:val="0"/>
              </w:rPr>
            </w:pPr>
          </w:p>
        </w:tc>
        <w:tc>
          <w:tcPr>
            <w:tcW w:w="1317" w:type="dxa"/>
            <w:vMerge w:val="continue"/>
            <w:vAlign w:val="center"/>
          </w:tcPr>
          <w:p w14:paraId="21B3CB08">
            <w:pPr>
              <w:widowControl/>
              <w:shd w:val="clear"/>
              <w:snapToGrid w:val="0"/>
              <w:jc w:val="center"/>
              <w:rPr>
                <w:rFonts w:ascii="仿宋_GB2312" w:hAnsi="宋体" w:eastAsia="仿宋_GB2312" w:cs="Times New Roman"/>
                <w:kern w:val="0"/>
              </w:rPr>
            </w:pPr>
          </w:p>
        </w:tc>
        <w:tc>
          <w:tcPr>
            <w:tcW w:w="1360" w:type="dxa"/>
            <w:vMerge w:val="continue"/>
            <w:shd w:val="clear" w:color="auto" w:fill="auto"/>
            <w:vAlign w:val="center"/>
          </w:tcPr>
          <w:p w14:paraId="38276E0F">
            <w:pPr>
              <w:widowControl/>
              <w:shd w:val="clear"/>
              <w:snapToGrid w:val="0"/>
              <w:jc w:val="center"/>
              <w:rPr>
                <w:rFonts w:hint="default" w:ascii="仿宋_GB2312" w:hAnsi="宋体" w:eastAsia="仿宋_GB2312" w:cs="仿宋_GB2312"/>
                <w:i w:val="0"/>
                <w:iCs w:val="0"/>
                <w:color w:val="000000"/>
                <w:kern w:val="0"/>
                <w:sz w:val="21"/>
                <w:szCs w:val="21"/>
                <w:u w:val="none"/>
                <w:lang w:val="en-US" w:eastAsia="zh-CN" w:bidi="ar"/>
              </w:rPr>
            </w:pPr>
          </w:p>
        </w:tc>
        <w:tc>
          <w:tcPr>
            <w:tcW w:w="2429" w:type="dxa"/>
            <w:gridSpan w:val="3"/>
            <w:shd w:val="clear" w:color="auto" w:fill="auto"/>
            <w:vAlign w:val="center"/>
          </w:tcPr>
          <w:p w14:paraId="3B9CE84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51" w:type="dxa"/>
            <w:shd w:val="clear" w:color="auto" w:fill="auto"/>
            <w:vAlign w:val="center"/>
          </w:tcPr>
          <w:p w14:paraId="75BE469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824" w:type="dxa"/>
            <w:shd w:val="clear" w:color="auto" w:fill="EEECE1" w:themeFill="background2"/>
            <w:vAlign w:val="center"/>
          </w:tcPr>
          <w:p w14:paraId="18DF033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5B53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57" w:type="dxa"/>
            <w:vMerge w:val="continue"/>
            <w:vAlign w:val="center"/>
          </w:tcPr>
          <w:p w14:paraId="5EF21BC1">
            <w:pPr>
              <w:shd w:val="clear"/>
              <w:snapToGrid w:val="0"/>
              <w:jc w:val="center"/>
              <w:rPr>
                <w:rFonts w:ascii="仿宋_GB2312" w:hAnsi="宋体" w:eastAsia="仿宋_GB2312" w:cs="Times New Roman"/>
                <w:kern w:val="0"/>
              </w:rPr>
            </w:pPr>
          </w:p>
        </w:tc>
        <w:tc>
          <w:tcPr>
            <w:tcW w:w="1317" w:type="dxa"/>
            <w:vMerge w:val="continue"/>
            <w:vAlign w:val="center"/>
          </w:tcPr>
          <w:p w14:paraId="7CB70F2F">
            <w:pPr>
              <w:widowControl/>
              <w:shd w:val="clear"/>
              <w:snapToGrid w:val="0"/>
              <w:jc w:val="center"/>
              <w:rPr>
                <w:rFonts w:ascii="仿宋_GB2312" w:hAnsi="宋体" w:eastAsia="仿宋_GB2312" w:cs="Times New Roman"/>
                <w:kern w:val="0"/>
              </w:rPr>
            </w:pPr>
          </w:p>
        </w:tc>
        <w:tc>
          <w:tcPr>
            <w:tcW w:w="1360" w:type="dxa"/>
            <w:vMerge w:val="continue"/>
            <w:vAlign w:val="center"/>
          </w:tcPr>
          <w:p w14:paraId="662E409E">
            <w:pPr>
              <w:widowControl/>
              <w:shd w:val="clear"/>
              <w:snapToGrid w:val="0"/>
              <w:jc w:val="center"/>
              <w:rPr>
                <w:rFonts w:hint="default" w:ascii="仿宋_GB2312" w:hAnsi="宋体" w:eastAsia="仿宋_GB2312" w:cs="仿宋_GB2312"/>
                <w:i w:val="0"/>
                <w:iCs w:val="0"/>
                <w:color w:val="000000"/>
                <w:kern w:val="0"/>
                <w:sz w:val="21"/>
                <w:szCs w:val="21"/>
                <w:u w:val="none"/>
                <w:lang w:val="en-US" w:eastAsia="zh-CN" w:bidi="ar"/>
              </w:rPr>
            </w:pPr>
          </w:p>
        </w:tc>
        <w:tc>
          <w:tcPr>
            <w:tcW w:w="2429" w:type="dxa"/>
            <w:gridSpan w:val="3"/>
            <w:vAlign w:val="center"/>
          </w:tcPr>
          <w:p w14:paraId="2FC0049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51" w:type="dxa"/>
            <w:vAlign w:val="center"/>
          </w:tcPr>
          <w:p w14:paraId="71CBB79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824" w:type="dxa"/>
            <w:shd w:val="clear" w:color="auto" w:fill="EEECE1" w:themeFill="background2"/>
            <w:vAlign w:val="center"/>
          </w:tcPr>
          <w:p w14:paraId="7FC361F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402A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57" w:type="dxa"/>
            <w:vMerge w:val="continue"/>
            <w:vAlign w:val="center"/>
          </w:tcPr>
          <w:p w14:paraId="245A8153">
            <w:pPr>
              <w:shd w:val="clear"/>
              <w:snapToGrid w:val="0"/>
              <w:jc w:val="center"/>
              <w:rPr>
                <w:rFonts w:ascii="仿宋_GB2312" w:hAnsi="宋体" w:eastAsia="仿宋_GB2312" w:cs="Times New Roman"/>
                <w:kern w:val="0"/>
              </w:rPr>
            </w:pPr>
          </w:p>
        </w:tc>
        <w:tc>
          <w:tcPr>
            <w:tcW w:w="1317" w:type="dxa"/>
            <w:vMerge w:val="continue"/>
            <w:vAlign w:val="center"/>
          </w:tcPr>
          <w:p w14:paraId="5E057717">
            <w:pPr>
              <w:widowControl/>
              <w:shd w:val="clear"/>
              <w:snapToGrid w:val="0"/>
              <w:jc w:val="center"/>
              <w:rPr>
                <w:rFonts w:ascii="仿宋_GB2312" w:hAnsi="宋体" w:eastAsia="仿宋_GB2312" w:cs="Times New Roman"/>
                <w:kern w:val="0"/>
              </w:rPr>
            </w:pPr>
          </w:p>
        </w:tc>
        <w:tc>
          <w:tcPr>
            <w:tcW w:w="1360" w:type="dxa"/>
            <w:vMerge w:val="continue"/>
            <w:vAlign w:val="center"/>
          </w:tcPr>
          <w:p w14:paraId="0C304072">
            <w:pPr>
              <w:widowControl/>
              <w:shd w:val="clear"/>
              <w:snapToGrid w:val="0"/>
              <w:jc w:val="center"/>
              <w:rPr>
                <w:rFonts w:hint="default" w:ascii="仿宋_GB2312" w:hAnsi="宋体" w:eastAsia="仿宋_GB2312" w:cs="仿宋_GB2312"/>
                <w:i w:val="0"/>
                <w:iCs w:val="0"/>
                <w:color w:val="000000"/>
                <w:kern w:val="0"/>
                <w:sz w:val="21"/>
                <w:szCs w:val="21"/>
                <w:u w:val="none"/>
                <w:lang w:val="en-US" w:eastAsia="zh-CN" w:bidi="ar"/>
              </w:rPr>
            </w:pPr>
          </w:p>
        </w:tc>
        <w:tc>
          <w:tcPr>
            <w:tcW w:w="2429" w:type="dxa"/>
            <w:gridSpan w:val="3"/>
            <w:vAlign w:val="center"/>
          </w:tcPr>
          <w:p w14:paraId="04D4E1B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51" w:type="dxa"/>
            <w:vAlign w:val="center"/>
          </w:tcPr>
          <w:p w14:paraId="7FFB2AC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824" w:type="dxa"/>
            <w:shd w:val="clear" w:color="auto" w:fill="EEECE1" w:themeFill="background2"/>
            <w:vAlign w:val="center"/>
          </w:tcPr>
          <w:p w14:paraId="01F48E2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0E10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7" w:type="dxa"/>
            <w:vMerge w:val="continue"/>
            <w:vAlign w:val="center"/>
          </w:tcPr>
          <w:p w14:paraId="6EEE1B37">
            <w:pPr>
              <w:widowControl/>
              <w:shd w:val="clear"/>
              <w:snapToGrid w:val="0"/>
              <w:jc w:val="center"/>
              <w:rPr>
                <w:rFonts w:ascii="仿宋_GB2312" w:hAnsi="宋体" w:eastAsia="仿宋_GB2312" w:cs="Times New Roman"/>
                <w:kern w:val="0"/>
              </w:rPr>
            </w:pPr>
          </w:p>
        </w:tc>
        <w:tc>
          <w:tcPr>
            <w:tcW w:w="1317" w:type="dxa"/>
            <w:vMerge w:val="restart"/>
            <w:vAlign w:val="center"/>
          </w:tcPr>
          <w:p w14:paraId="2A3A2383">
            <w:pPr>
              <w:shd w:val="clear"/>
              <w:snapToGrid w:val="0"/>
              <w:jc w:val="center"/>
              <w:rPr>
                <w:rFonts w:hint="eastAsia" w:ascii="仿宋_GB2312" w:hAnsi="宋体" w:eastAsia="仿宋_GB2312" w:cs="仿宋_GB2312"/>
                <w:kern w:val="0"/>
              </w:rPr>
            </w:pPr>
            <w:r>
              <w:rPr>
                <w:rFonts w:hint="eastAsia" w:ascii="仿宋_GB2312" w:hAnsi="宋体" w:eastAsia="仿宋_GB2312" w:cs="仿宋_GB2312"/>
                <w:kern w:val="0"/>
              </w:rPr>
              <w:t>效益指标</w:t>
            </w:r>
          </w:p>
          <w:p w14:paraId="6DDCE95D">
            <w:pPr>
              <w:shd w:val="clear"/>
              <w:snapToGrid w:val="0"/>
              <w:jc w:val="center"/>
              <w:rPr>
                <w:rFonts w:hint="eastAsia" w:ascii="仿宋_GB2312" w:hAnsi="宋体" w:eastAsia="仿宋_GB2312" w:cs="仿宋_GB2312"/>
                <w:kern w:val="0"/>
              </w:rPr>
            </w:pPr>
          </w:p>
        </w:tc>
        <w:tc>
          <w:tcPr>
            <w:tcW w:w="1360" w:type="dxa"/>
            <w:vAlign w:val="center"/>
          </w:tcPr>
          <w:p w14:paraId="10F0CAB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社会效益</w:t>
            </w:r>
          </w:p>
          <w:p w14:paraId="16A2FD1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指标</w:t>
            </w:r>
          </w:p>
        </w:tc>
        <w:tc>
          <w:tcPr>
            <w:tcW w:w="2429" w:type="dxa"/>
            <w:gridSpan w:val="3"/>
            <w:vAlign w:val="center"/>
          </w:tcPr>
          <w:p w14:paraId="61D0CCF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51" w:type="dxa"/>
            <w:vAlign w:val="center"/>
          </w:tcPr>
          <w:p w14:paraId="2945192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824" w:type="dxa"/>
            <w:shd w:val="clear" w:color="auto" w:fill="EEECE1" w:themeFill="background2"/>
            <w:vAlign w:val="center"/>
          </w:tcPr>
          <w:p w14:paraId="411DD21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0734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57" w:type="dxa"/>
            <w:vMerge w:val="continue"/>
            <w:vAlign w:val="center"/>
          </w:tcPr>
          <w:p w14:paraId="4CCFC18E">
            <w:pPr>
              <w:widowControl/>
              <w:shd w:val="clear"/>
              <w:snapToGrid w:val="0"/>
              <w:jc w:val="center"/>
              <w:rPr>
                <w:rFonts w:ascii="仿宋_GB2312" w:hAnsi="宋体" w:eastAsia="仿宋_GB2312" w:cs="Times New Roman"/>
                <w:kern w:val="0"/>
              </w:rPr>
            </w:pPr>
          </w:p>
        </w:tc>
        <w:tc>
          <w:tcPr>
            <w:tcW w:w="1317" w:type="dxa"/>
            <w:vMerge w:val="continue"/>
            <w:vAlign w:val="center"/>
          </w:tcPr>
          <w:p w14:paraId="7B747B08">
            <w:pPr>
              <w:shd w:val="clear"/>
              <w:snapToGrid w:val="0"/>
              <w:jc w:val="center"/>
              <w:rPr>
                <w:rFonts w:hint="eastAsia" w:ascii="仿宋_GB2312" w:hAnsi="宋体" w:eastAsia="仿宋_GB2312" w:cs="仿宋_GB2312"/>
                <w:kern w:val="0"/>
              </w:rPr>
            </w:pPr>
          </w:p>
        </w:tc>
        <w:tc>
          <w:tcPr>
            <w:tcW w:w="1360" w:type="dxa"/>
            <w:vMerge w:val="restart"/>
            <w:shd w:val="clear" w:color="auto" w:fill="EEECE1" w:themeFill="background2"/>
            <w:vAlign w:val="center"/>
          </w:tcPr>
          <w:p w14:paraId="4D2CEB7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r>
              <w:rPr>
                <w:rFonts w:hint="default" w:ascii="仿宋_GB2312" w:hAnsi="宋体" w:eastAsia="仿宋_GB2312" w:cs="仿宋_GB2312"/>
                <w:i w:val="0"/>
                <w:iCs w:val="0"/>
                <w:color w:val="000000"/>
                <w:kern w:val="0"/>
                <w:sz w:val="21"/>
                <w:szCs w:val="21"/>
                <w:highlight w:val="none"/>
                <w:u w:val="none"/>
                <w:lang w:val="en-US" w:eastAsia="zh-CN" w:bidi="ar"/>
              </w:rPr>
              <w:t>可持续影响指标</w:t>
            </w:r>
          </w:p>
        </w:tc>
        <w:tc>
          <w:tcPr>
            <w:tcW w:w="2429" w:type="dxa"/>
            <w:gridSpan w:val="3"/>
            <w:shd w:val="clear" w:color="auto" w:fill="EEECE1" w:themeFill="background2"/>
            <w:vAlign w:val="center"/>
          </w:tcPr>
          <w:p w14:paraId="69E297E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c>
          <w:tcPr>
            <w:tcW w:w="1651" w:type="dxa"/>
            <w:shd w:val="clear" w:color="auto" w:fill="EEECE1" w:themeFill="background2"/>
            <w:vAlign w:val="center"/>
          </w:tcPr>
          <w:p w14:paraId="36DD0C1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c>
          <w:tcPr>
            <w:tcW w:w="1824" w:type="dxa"/>
            <w:shd w:val="clear" w:color="auto" w:fill="EEECE1" w:themeFill="background2"/>
            <w:vAlign w:val="center"/>
          </w:tcPr>
          <w:p w14:paraId="128219C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199F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57" w:type="dxa"/>
            <w:vMerge w:val="continue"/>
            <w:vAlign w:val="center"/>
          </w:tcPr>
          <w:p w14:paraId="502674CD">
            <w:pPr>
              <w:widowControl/>
              <w:shd w:val="clear"/>
              <w:snapToGrid w:val="0"/>
              <w:jc w:val="center"/>
              <w:rPr>
                <w:rFonts w:ascii="仿宋_GB2312" w:hAnsi="宋体" w:eastAsia="仿宋_GB2312" w:cs="Times New Roman"/>
                <w:kern w:val="0"/>
              </w:rPr>
            </w:pPr>
          </w:p>
        </w:tc>
        <w:tc>
          <w:tcPr>
            <w:tcW w:w="1317" w:type="dxa"/>
            <w:vMerge w:val="continue"/>
            <w:vAlign w:val="center"/>
          </w:tcPr>
          <w:p w14:paraId="6796EC3E">
            <w:pPr>
              <w:shd w:val="clear"/>
              <w:snapToGrid w:val="0"/>
              <w:jc w:val="center"/>
              <w:rPr>
                <w:rFonts w:hint="eastAsia" w:ascii="仿宋_GB2312" w:hAnsi="宋体" w:eastAsia="仿宋_GB2312" w:cs="仿宋_GB2312"/>
                <w:kern w:val="0"/>
              </w:rPr>
            </w:pPr>
          </w:p>
        </w:tc>
        <w:tc>
          <w:tcPr>
            <w:tcW w:w="1360" w:type="dxa"/>
            <w:vMerge w:val="continue"/>
            <w:shd w:val="clear" w:color="auto" w:fill="EEECE1" w:themeFill="background2"/>
            <w:vAlign w:val="center"/>
          </w:tcPr>
          <w:p w14:paraId="26AAABD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p>
        </w:tc>
        <w:tc>
          <w:tcPr>
            <w:tcW w:w="2429" w:type="dxa"/>
            <w:gridSpan w:val="3"/>
            <w:shd w:val="clear" w:color="auto" w:fill="EEECE1" w:themeFill="background2"/>
            <w:vAlign w:val="center"/>
          </w:tcPr>
          <w:p w14:paraId="7344E30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c>
          <w:tcPr>
            <w:tcW w:w="1651" w:type="dxa"/>
            <w:shd w:val="clear" w:color="auto" w:fill="EEECE1" w:themeFill="background2"/>
            <w:vAlign w:val="center"/>
          </w:tcPr>
          <w:p w14:paraId="788D178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c>
          <w:tcPr>
            <w:tcW w:w="1824" w:type="dxa"/>
            <w:shd w:val="clear" w:color="auto" w:fill="EEECE1" w:themeFill="background2"/>
            <w:vAlign w:val="center"/>
          </w:tcPr>
          <w:p w14:paraId="5FA0406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770D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57" w:type="dxa"/>
            <w:vMerge w:val="continue"/>
            <w:vAlign w:val="center"/>
          </w:tcPr>
          <w:p w14:paraId="4B3D355D">
            <w:pPr>
              <w:widowControl/>
              <w:shd w:val="clear"/>
              <w:snapToGrid w:val="0"/>
              <w:jc w:val="center"/>
              <w:rPr>
                <w:rFonts w:ascii="仿宋_GB2312" w:hAnsi="宋体" w:eastAsia="仿宋_GB2312" w:cs="Times New Roman"/>
                <w:kern w:val="0"/>
              </w:rPr>
            </w:pPr>
          </w:p>
        </w:tc>
        <w:tc>
          <w:tcPr>
            <w:tcW w:w="1317" w:type="dxa"/>
            <w:vMerge w:val="continue"/>
            <w:vAlign w:val="center"/>
          </w:tcPr>
          <w:p w14:paraId="1D3E6E7F">
            <w:pPr>
              <w:shd w:val="clear"/>
              <w:snapToGrid w:val="0"/>
              <w:jc w:val="center"/>
              <w:rPr>
                <w:rFonts w:hint="eastAsia" w:ascii="仿宋_GB2312" w:hAnsi="宋体" w:eastAsia="仿宋_GB2312" w:cs="仿宋_GB2312"/>
                <w:kern w:val="0"/>
              </w:rPr>
            </w:pPr>
          </w:p>
        </w:tc>
        <w:tc>
          <w:tcPr>
            <w:tcW w:w="1360" w:type="dxa"/>
            <w:vMerge w:val="continue"/>
            <w:shd w:val="clear" w:color="auto" w:fill="EEECE1" w:themeFill="background2"/>
            <w:vAlign w:val="center"/>
          </w:tcPr>
          <w:p w14:paraId="0E44CE2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highlight w:val="none"/>
                <w:u w:val="none"/>
                <w:lang w:val="en-US" w:eastAsia="zh-CN" w:bidi="ar"/>
              </w:rPr>
            </w:pPr>
          </w:p>
        </w:tc>
        <w:tc>
          <w:tcPr>
            <w:tcW w:w="2429" w:type="dxa"/>
            <w:gridSpan w:val="3"/>
            <w:shd w:val="clear" w:color="auto" w:fill="EEECE1" w:themeFill="background2"/>
            <w:vAlign w:val="center"/>
          </w:tcPr>
          <w:p w14:paraId="52EDA0C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c>
          <w:tcPr>
            <w:tcW w:w="1651" w:type="dxa"/>
            <w:shd w:val="clear" w:color="auto" w:fill="EEECE1" w:themeFill="background2"/>
            <w:vAlign w:val="center"/>
          </w:tcPr>
          <w:p w14:paraId="22EDAD0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c>
          <w:tcPr>
            <w:tcW w:w="1824" w:type="dxa"/>
            <w:shd w:val="clear" w:color="auto" w:fill="EEECE1" w:themeFill="background2"/>
            <w:vAlign w:val="center"/>
          </w:tcPr>
          <w:p w14:paraId="7B90903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p>
        </w:tc>
      </w:tr>
      <w:tr w14:paraId="15E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dxa"/>
            <w:vMerge w:val="continue"/>
            <w:vAlign w:val="center"/>
          </w:tcPr>
          <w:p w14:paraId="0DB193AD">
            <w:pPr>
              <w:widowControl/>
              <w:shd w:val="clear"/>
              <w:snapToGrid w:val="0"/>
              <w:jc w:val="center"/>
              <w:rPr>
                <w:rFonts w:ascii="仿宋_GB2312" w:hAnsi="宋体" w:eastAsia="仿宋_GB2312" w:cs="Times New Roman"/>
                <w:kern w:val="0"/>
              </w:rPr>
            </w:pPr>
          </w:p>
        </w:tc>
        <w:tc>
          <w:tcPr>
            <w:tcW w:w="1317" w:type="dxa"/>
            <w:vAlign w:val="center"/>
          </w:tcPr>
          <w:p w14:paraId="127EC6E3">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360" w:type="dxa"/>
            <w:vAlign w:val="center"/>
          </w:tcPr>
          <w:p w14:paraId="1871752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kern w:val="0"/>
                <w:lang w:val="en-US" w:eastAsia="zh-CN"/>
              </w:rPr>
              <w:t>服务对象满意度指标</w:t>
            </w:r>
          </w:p>
        </w:tc>
        <w:tc>
          <w:tcPr>
            <w:tcW w:w="2429" w:type="dxa"/>
            <w:gridSpan w:val="3"/>
            <w:vAlign w:val="center"/>
          </w:tcPr>
          <w:p w14:paraId="706B633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服务对象满意度</w:t>
            </w:r>
          </w:p>
        </w:tc>
        <w:tc>
          <w:tcPr>
            <w:tcW w:w="1651" w:type="dxa"/>
            <w:vAlign w:val="center"/>
          </w:tcPr>
          <w:p w14:paraId="15FD0FC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824" w:type="dxa"/>
            <w:shd w:val="clear" w:color="auto" w:fill="EEECE1" w:themeFill="background2"/>
            <w:vAlign w:val="center"/>
          </w:tcPr>
          <w:p w14:paraId="047CE9E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highlight w:val="none"/>
                <w:u w:val="none"/>
                <w:lang w:val="en-US" w:eastAsia="zh-CN" w:bidi="ar-SA"/>
              </w:rPr>
            </w:pPr>
            <w:r>
              <w:rPr>
                <w:rFonts w:hint="default" w:ascii="仿宋_GB2312" w:hAnsi="宋体" w:eastAsia="仿宋_GB2312" w:cs="仿宋_GB2312"/>
                <w:i w:val="0"/>
                <w:iCs w:val="0"/>
                <w:color w:val="000000"/>
                <w:kern w:val="0"/>
                <w:sz w:val="21"/>
                <w:szCs w:val="21"/>
                <w:highlight w:val="none"/>
                <w:u w:val="none"/>
                <w:lang w:val="en-US" w:eastAsia="zh-CN" w:bidi="ar"/>
              </w:rPr>
              <w:t>100%</w:t>
            </w:r>
          </w:p>
        </w:tc>
      </w:tr>
      <w:tr w14:paraId="7543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dxa"/>
            <w:vAlign w:val="center"/>
          </w:tcPr>
          <w:p w14:paraId="5D133B96">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1317" w:type="dxa"/>
            <w:vAlign w:val="center"/>
          </w:tcPr>
          <w:p w14:paraId="0041277C">
            <w:pPr>
              <w:widowControl/>
              <w:shd w:val="clear"/>
              <w:snapToGrid w:val="0"/>
              <w:jc w:val="center"/>
              <w:rPr>
                <w:rFonts w:ascii="仿宋_GB2312" w:hAnsi="宋体" w:eastAsia="仿宋_GB2312" w:cs="Times New Roman"/>
                <w:kern w:val="0"/>
              </w:rPr>
            </w:pPr>
          </w:p>
        </w:tc>
        <w:tc>
          <w:tcPr>
            <w:tcW w:w="1360" w:type="dxa"/>
            <w:vAlign w:val="center"/>
          </w:tcPr>
          <w:p w14:paraId="723BABD4">
            <w:pPr>
              <w:widowControl/>
              <w:shd w:val="clear"/>
              <w:snapToGrid w:val="0"/>
              <w:jc w:val="center"/>
              <w:rPr>
                <w:rFonts w:ascii="仿宋_GB2312" w:hAnsi="宋体" w:eastAsia="仿宋_GB2312" w:cs="Times New Roman"/>
                <w:kern w:val="0"/>
              </w:rPr>
            </w:pPr>
          </w:p>
        </w:tc>
        <w:tc>
          <w:tcPr>
            <w:tcW w:w="2429" w:type="dxa"/>
            <w:gridSpan w:val="3"/>
            <w:vAlign w:val="center"/>
          </w:tcPr>
          <w:p w14:paraId="6667BE7F">
            <w:pPr>
              <w:widowControl/>
              <w:shd w:val="clear"/>
              <w:snapToGrid w:val="0"/>
              <w:jc w:val="center"/>
              <w:rPr>
                <w:rFonts w:ascii="仿宋_GB2312" w:hAnsi="宋体" w:eastAsia="仿宋_GB2312" w:cs="Times New Roman"/>
                <w:kern w:val="0"/>
              </w:rPr>
            </w:pPr>
          </w:p>
        </w:tc>
        <w:tc>
          <w:tcPr>
            <w:tcW w:w="1651" w:type="dxa"/>
            <w:vAlign w:val="center"/>
          </w:tcPr>
          <w:p w14:paraId="39FD0EEA">
            <w:pPr>
              <w:widowControl/>
              <w:shd w:val="clear"/>
              <w:snapToGrid w:val="0"/>
              <w:jc w:val="center"/>
              <w:rPr>
                <w:rFonts w:ascii="仿宋_GB2312" w:hAnsi="宋体" w:eastAsia="仿宋_GB2312" w:cs="Times New Roman"/>
                <w:kern w:val="0"/>
              </w:rPr>
            </w:pPr>
          </w:p>
        </w:tc>
        <w:tc>
          <w:tcPr>
            <w:tcW w:w="1824" w:type="dxa"/>
            <w:vAlign w:val="center"/>
          </w:tcPr>
          <w:p w14:paraId="3B75A784">
            <w:pPr>
              <w:widowControl/>
              <w:shd w:val="clear"/>
              <w:snapToGrid w:val="0"/>
              <w:jc w:val="center"/>
              <w:rPr>
                <w:rFonts w:ascii="仿宋_GB2312" w:hAnsi="宋体" w:eastAsia="仿宋_GB2312" w:cs="Times New Roman"/>
                <w:kern w:val="0"/>
              </w:rPr>
            </w:pPr>
          </w:p>
        </w:tc>
      </w:tr>
      <w:tr w14:paraId="6087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dxa"/>
            <w:vAlign w:val="center"/>
          </w:tcPr>
          <w:p w14:paraId="021C3FCF">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1317" w:type="dxa"/>
            <w:vAlign w:val="center"/>
          </w:tcPr>
          <w:p w14:paraId="5498CD9D">
            <w:pPr>
              <w:widowControl/>
              <w:shd w:val="clear"/>
              <w:snapToGrid w:val="0"/>
              <w:jc w:val="center"/>
              <w:rPr>
                <w:rFonts w:ascii="仿宋_GB2312" w:hAnsi="宋体" w:eastAsia="仿宋_GB2312" w:cs="Times New Roman"/>
                <w:kern w:val="0"/>
              </w:rPr>
            </w:pPr>
          </w:p>
        </w:tc>
        <w:tc>
          <w:tcPr>
            <w:tcW w:w="1360" w:type="dxa"/>
            <w:vAlign w:val="center"/>
          </w:tcPr>
          <w:p w14:paraId="60C3497A">
            <w:pPr>
              <w:widowControl/>
              <w:shd w:val="clear"/>
              <w:snapToGrid w:val="0"/>
              <w:jc w:val="center"/>
              <w:rPr>
                <w:rFonts w:ascii="仿宋_GB2312" w:hAnsi="宋体" w:eastAsia="仿宋_GB2312" w:cs="Times New Roman"/>
                <w:kern w:val="0"/>
              </w:rPr>
            </w:pPr>
          </w:p>
        </w:tc>
        <w:tc>
          <w:tcPr>
            <w:tcW w:w="2429" w:type="dxa"/>
            <w:gridSpan w:val="3"/>
            <w:vAlign w:val="center"/>
          </w:tcPr>
          <w:p w14:paraId="0F88609A">
            <w:pPr>
              <w:widowControl/>
              <w:shd w:val="clear"/>
              <w:snapToGrid w:val="0"/>
              <w:jc w:val="center"/>
              <w:rPr>
                <w:rFonts w:ascii="仿宋_GB2312" w:hAnsi="宋体" w:eastAsia="仿宋_GB2312" w:cs="Times New Roman"/>
                <w:kern w:val="0"/>
              </w:rPr>
            </w:pPr>
          </w:p>
        </w:tc>
        <w:tc>
          <w:tcPr>
            <w:tcW w:w="1651" w:type="dxa"/>
            <w:vAlign w:val="center"/>
          </w:tcPr>
          <w:p w14:paraId="2D2F7763">
            <w:pPr>
              <w:widowControl/>
              <w:shd w:val="clear"/>
              <w:snapToGrid w:val="0"/>
              <w:jc w:val="center"/>
              <w:rPr>
                <w:rFonts w:ascii="仿宋_GB2312" w:hAnsi="宋体" w:eastAsia="仿宋_GB2312" w:cs="Times New Roman"/>
                <w:kern w:val="0"/>
              </w:rPr>
            </w:pPr>
          </w:p>
        </w:tc>
        <w:tc>
          <w:tcPr>
            <w:tcW w:w="1824" w:type="dxa"/>
            <w:vAlign w:val="center"/>
          </w:tcPr>
          <w:p w14:paraId="0DA317B9">
            <w:pPr>
              <w:widowControl/>
              <w:shd w:val="clear"/>
              <w:snapToGrid w:val="0"/>
              <w:jc w:val="center"/>
              <w:rPr>
                <w:rFonts w:ascii="仿宋_GB2312" w:hAnsi="宋体" w:eastAsia="仿宋_GB2312" w:cs="Times New Roman"/>
                <w:kern w:val="0"/>
              </w:rPr>
            </w:pPr>
          </w:p>
        </w:tc>
      </w:tr>
      <w:tr w14:paraId="506E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374" w:type="dxa"/>
            <w:gridSpan w:val="2"/>
            <w:vAlign w:val="center"/>
          </w:tcPr>
          <w:p w14:paraId="5F31A8A0">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6FC9371C">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4EE8A63">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264" w:type="dxa"/>
            <w:gridSpan w:val="6"/>
            <w:vAlign w:val="center"/>
          </w:tcPr>
          <w:p w14:paraId="2095B8F7">
            <w:pPr>
              <w:widowControl/>
              <w:shd w:val="clear"/>
              <w:jc w:val="left"/>
              <w:rPr>
                <w:rFonts w:ascii="仿宋_GB2312" w:hAnsi="宋体" w:eastAsia="仿宋_GB2312" w:cs="Times New Roman"/>
                <w:kern w:val="0"/>
              </w:rPr>
            </w:pPr>
          </w:p>
        </w:tc>
      </w:tr>
      <w:tr w14:paraId="4048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2374" w:type="dxa"/>
            <w:gridSpan w:val="2"/>
            <w:vAlign w:val="center"/>
          </w:tcPr>
          <w:p w14:paraId="5C68CAB9">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031C2A5">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264" w:type="dxa"/>
            <w:gridSpan w:val="6"/>
            <w:vAlign w:val="center"/>
          </w:tcPr>
          <w:p w14:paraId="28FAB530">
            <w:pPr>
              <w:widowControl/>
              <w:shd w:val="clear"/>
              <w:jc w:val="left"/>
              <w:rPr>
                <w:rFonts w:ascii="仿宋_GB2312" w:hAnsi="宋体" w:eastAsia="仿宋_GB2312" w:cs="Times New Roman"/>
                <w:kern w:val="0"/>
              </w:rPr>
            </w:pPr>
          </w:p>
        </w:tc>
      </w:tr>
    </w:tbl>
    <w:p w14:paraId="40EDBB9B">
      <w:pPr>
        <w:widowControl/>
        <w:shd w:val="clear"/>
        <w:rPr>
          <w:rFonts w:ascii="仿宋_GB2312" w:hAnsi="宋体" w:eastAsia="仿宋_GB2312" w:cs="Times New Roman"/>
          <w:kern w:val="0"/>
        </w:rPr>
      </w:pPr>
      <w:r>
        <w:rPr>
          <w:rFonts w:hint="eastAsia" w:ascii="仿宋_GB2312" w:hAnsi="宋体" w:eastAsia="仿宋_GB2312" w:cs="仿宋_GB2312"/>
          <w:kern w:val="0"/>
        </w:rPr>
        <w:t>备注：</w:t>
      </w:r>
    </w:p>
    <w:p w14:paraId="15D12786">
      <w:pPr>
        <w:widowControl/>
        <w:shd w:val="clear"/>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03E95605">
      <w:pPr>
        <w:widowControl/>
        <w:shd w:val="clear"/>
        <w:ind w:firstLine="420" w:firstLineChars="200"/>
        <w:rPr>
          <w:rFonts w:hint="eastAsia" w:ascii="仿宋_GB2312" w:hAnsi="宋体" w:eastAsia="仿宋_GB2312" w:cs="仿宋_GB2312"/>
          <w:kern w:val="0"/>
        </w:rPr>
      </w:pPr>
      <w:r>
        <w:rPr>
          <w:rFonts w:hint="eastAsia" w:ascii="仿宋_GB2312" w:hAnsi="宋体" w:eastAsia="仿宋_GB2312" w:cs="仿宋_GB2312"/>
          <w:kern w:val="0"/>
        </w:rPr>
        <w:t>2.基于经济性和必要性等因素考虑，满意度指标暂可不作为必评指标。</w:t>
      </w:r>
    </w:p>
    <w:p w14:paraId="2E99B802">
      <w:pPr>
        <w:widowControl/>
        <w:shd w:val="clear"/>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32563ED0">
      <w:pPr>
        <w:widowControl/>
        <w:shd w:val="clear"/>
        <w:ind w:firstLine="420" w:firstLineChars="200"/>
        <w:rPr>
          <w:rFonts w:hint="eastAsia" w:ascii="仿宋_GB2312" w:hAnsi="宋体" w:eastAsia="仿宋_GB2312" w:cs="仿宋_GB2312"/>
          <w:kern w:val="0"/>
          <w:lang w:val="en-US" w:eastAsia="zh-CN"/>
        </w:rPr>
      </w:pPr>
    </w:p>
    <w:p w14:paraId="58BA3805">
      <w:pPr>
        <w:widowControl/>
        <w:shd w:val="clear"/>
        <w:ind w:firstLine="420" w:firstLineChars="200"/>
        <w:rPr>
          <w:rFonts w:hint="eastAsia" w:ascii="仿宋_GB2312" w:hAnsi="宋体" w:eastAsia="仿宋_GB2312" w:cs="仿宋_GB2312"/>
          <w:kern w:val="0"/>
          <w:lang w:val="en-US" w:eastAsia="zh-CN"/>
        </w:rPr>
      </w:pPr>
    </w:p>
    <w:p w14:paraId="737D73A7">
      <w:pPr>
        <w:widowControl/>
        <w:shd w:val="clear"/>
        <w:ind w:firstLine="420" w:firstLineChars="200"/>
        <w:rPr>
          <w:rFonts w:hint="eastAsia" w:ascii="仿宋_GB2312" w:hAnsi="宋体" w:eastAsia="仿宋_GB2312" w:cs="仿宋_GB2312"/>
          <w:kern w:val="0"/>
          <w:lang w:val="en-US" w:eastAsia="zh-CN"/>
        </w:rPr>
      </w:pPr>
    </w:p>
    <w:p w14:paraId="097518AC">
      <w:pPr>
        <w:widowControl/>
        <w:shd w:val="clear"/>
        <w:ind w:firstLine="420" w:firstLineChars="200"/>
        <w:rPr>
          <w:rFonts w:hint="default" w:ascii="仿宋_GB2312" w:hAnsi="宋体" w:eastAsia="仿宋_GB2312" w:cs="仿宋_GB2312"/>
          <w:kern w:val="0"/>
          <w:lang w:val="en-US" w:eastAsia="zh-CN"/>
        </w:rPr>
      </w:pPr>
    </w:p>
    <w:p w14:paraId="4E25DA77">
      <w:pPr>
        <w:widowControl/>
        <w:shd w:val="clear"/>
        <w:ind w:firstLine="420" w:firstLineChars="200"/>
        <w:rPr>
          <w:rFonts w:hint="default" w:ascii="仿宋_GB2312" w:hAnsi="宋体" w:eastAsia="仿宋_GB2312" w:cs="仿宋_GB2312"/>
          <w:kern w:val="0"/>
          <w:lang w:val="en-US" w:eastAsia="zh-CN"/>
        </w:rPr>
      </w:pPr>
    </w:p>
    <w:p w14:paraId="7A909C93">
      <w:pPr>
        <w:widowControl/>
        <w:shd w:val="clear"/>
        <w:ind w:firstLine="420" w:firstLineChars="200"/>
        <w:rPr>
          <w:rFonts w:hint="default" w:ascii="仿宋_GB2312" w:hAnsi="宋体" w:eastAsia="仿宋_GB2312" w:cs="仿宋_GB2312"/>
          <w:kern w:val="0"/>
          <w:lang w:val="en-US" w:eastAsia="zh-CN"/>
        </w:rPr>
      </w:pPr>
    </w:p>
    <w:p w14:paraId="290B2DA4">
      <w:pPr>
        <w:widowControl/>
        <w:shd w:val="clear"/>
        <w:ind w:firstLine="420" w:firstLineChars="200"/>
        <w:rPr>
          <w:rFonts w:hint="default" w:ascii="仿宋_GB2312" w:hAnsi="宋体" w:eastAsia="仿宋_GB2312" w:cs="仿宋_GB2312"/>
          <w:kern w:val="0"/>
          <w:lang w:val="en-US" w:eastAsia="zh-CN"/>
        </w:rPr>
      </w:pPr>
    </w:p>
    <w:p w14:paraId="01ED3AF9">
      <w:pPr>
        <w:widowControl/>
        <w:shd w:val="clear"/>
        <w:ind w:firstLine="420" w:firstLineChars="200"/>
        <w:rPr>
          <w:rFonts w:hint="default" w:ascii="仿宋_GB2312" w:hAnsi="宋体" w:eastAsia="仿宋_GB2312" w:cs="仿宋_GB2312"/>
          <w:kern w:val="0"/>
          <w:lang w:val="en-US" w:eastAsia="zh-CN"/>
        </w:rPr>
      </w:pPr>
    </w:p>
    <w:p w14:paraId="1A80933A">
      <w:pPr>
        <w:widowControl/>
        <w:shd w:val="clear"/>
        <w:ind w:firstLine="420" w:firstLineChars="200"/>
        <w:rPr>
          <w:rFonts w:hint="default" w:ascii="仿宋_GB2312" w:hAnsi="宋体" w:eastAsia="仿宋_GB2312" w:cs="仿宋_GB2312"/>
          <w:kern w:val="0"/>
          <w:lang w:val="en-US" w:eastAsia="zh-CN"/>
        </w:rPr>
      </w:pPr>
    </w:p>
    <w:p w14:paraId="45EDF02D">
      <w:pPr>
        <w:widowControl/>
        <w:shd w:val="clear"/>
        <w:ind w:firstLine="420" w:firstLineChars="200"/>
        <w:rPr>
          <w:rFonts w:hint="default" w:ascii="仿宋_GB2312" w:hAnsi="宋体" w:eastAsia="仿宋_GB2312" w:cs="仿宋_GB2312"/>
          <w:kern w:val="0"/>
          <w:lang w:val="en-US" w:eastAsia="zh-CN"/>
        </w:rPr>
      </w:pPr>
    </w:p>
    <w:p w14:paraId="4FFCE4CB">
      <w:pPr>
        <w:widowControl/>
        <w:shd w:val="clear"/>
        <w:ind w:firstLine="420" w:firstLineChars="200"/>
        <w:rPr>
          <w:rFonts w:hint="default" w:ascii="仿宋_GB2312" w:hAnsi="宋体" w:eastAsia="仿宋_GB2312" w:cs="仿宋_GB2312"/>
          <w:kern w:val="0"/>
          <w:lang w:val="en-US" w:eastAsia="zh-CN"/>
        </w:rPr>
      </w:pPr>
    </w:p>
    <w:p w14:paraId="59E354B0">
      <w:pPr>
        <w:widowControl/>
        <w:shd w:val="clear"/>
        <w:ind w:firstLine="420" w:firstLineChars="200"/>
        <w:rPr>
          <w:rFonts w:hint="default" w:ascii="仿宋_GB2312" w:hAnsi="宋体" w:eastAsia="仿宋_GB2312" w:cs="仿宋_GB2312"/>
          <w:kern w:val="0"/>
          <w:lang w:val="en-US" w:eastAsia="zh-CN"/>
        </w:rPr>
      </w:pPr>
    </w:p>
    <w:p w14:paraId="15A76414">
      <w:pPr>
        <w:widowControl/>
        <w:shd w:val="clear"/>
        <w:ind w:firstLine="420" w:firstLineChars="200"/>
        <w:rPr>
          <w:rFonts w:hint="default" w:ascii="仿宋_GB2312" w:hAnsi="宋体" w:eastAsia="仿宋_GB2312" w:cs="仿宋_GB2312"/>
          <w:kern w:val="0"/>
          <w:lang w:val="en-US" w:eastAsia="zh-CN"/>
        </w:rPr>
      </w:pPr>
    </w:p>
    <w:p w14:paraId="55146D0B">
      <w:pPr>
        <w:widowControl/>
        <w:shd w:val="clear"/>
        <w:ind w:firstLine="420" w:firstLineChars="200"/>
        <w:rPr>
          <w:rFonts w:hint="default" w:ascii="仿宋_GB2312" w:hAnsi="宋体" w:eastAsia="仿宋_GB2312" w:cs="仿宋_GB2312"/>
          <w:kern w:val="0"/>
          <w:lang w:val="en-US" w:eastAsia="zh-CN"/>
        </w:rPr>
      </w:pPr>
    </w:p>
    <w:p w14:paraId="5566DF8E">
      <w:pPr>
        <w:widowControl/>
        <w:shd w:val="clear"/>
        <w:ind w:firstLine="420" w:firstLineChars="200"/>
        <w:rPr>
          <w:rFonts w:hint="default" w:ascii="仿宋_GB2312" w:hAnsi="宋体" w:eastAsia="仿宋_GB2312" w:cs="仿宋_GB2312"/>
          <w:kern w:val="0"/>
          <w:lang w:val="en-US" w:eastAsia="zh-CN"/>
        </w:rPr>
      </w:pPr>
    </w:p>
    <w:p w14:paraId="1B415A3B">
      <w:pPr>
        <w:widowControl/>
        <w:shd w:val="clear"/>
        <w:ind w:firstLine="420" w:firstLineChars="200"/>
        <w:rPr>
          <w:rFonts w:hint="default" w:ascii="仿宋_GB2312" w:hAnsi="宋体" w:eastAsia="仿宋_GB2312" w:cs="仿宋_GB2312"/>
          <w:kern w:val="0"/>
          <w:lang w:val="en-US" w:eastAsia="zh-CN"/>
        </w:rPr>
      </w:pPr>
    </w:p>
    <w:p w14:paraId="2396932E">
      <w:pPr>
        <w:pStyle w:val="2"/>
        <w:rPr>
          <w:rFonts w:hint="default" w:ascii="仿宋_GB2312" w:hAnsi="宋体" w:eastAsia="仿宋_GB2312" w:cs="仿宋_GB2312"/>
          <w:kern w:val="0"/>
          <w:lang w:val="en-US" w:eastAsia="zh-CN"/>
        </w:rPr>
      </w:pPr>
    </w:p>
    <w:p w14:paraId="1472315A">
      <w:pPr>
        <w:pStyle w:val="3"/>
        <w:rPr>
          <w:rFonts w:hint="default" w:ascii="仿宋_GB2312" w:hAnsi="宋体" w:eastAsia="仿宋_GB2312" w:cs="仿宋_GB2312"/>
          <w:kern w:val="0"/>
          <w:lang w:val="en-US" w:eastAsia="zh-CN"/>
        </w:rPr>
      </w:pPr>
    </w:p>
    <w:p w14:paraId="46A878C1">
      <w:pPr>
        <w:rPr>
          <w:rFonts w:hint="default" w:ascii="仿宋_GB2312" w:hAnsi="宋体" w:eastAsia="仿宋_GB2312" w:cs="仿宋_GB2312"/>
          <w:kern w:val="0"/>
          <w:lang w:val="en-US" w:eastAsia="zh-CN"/>
        </w:rPr>
      </w:pPr>
    </w:p>
    <w:p w14:paraId="6F71418D">
      <w:pPr>
        <w:pStyle w:val="2"/>
        <w:rPr>
          <w:rFonts w:hint="default" w:ascii="仿宋_GB2312" w:hAnsi="宋体" w:eastAsia="仿宋_GB2312" w:cs="仿宋_GB2312"/>
          <w:kern w:val="0"/>
          <w:lang w:val="en-US" w:eastAsia="zh-CN"/>
        </w:rPr>
      </w:pPr>
    </w:p>
    <w:p w14:paraId="65F777BF">
      <w:pPr>
        <w:pStyle w:val="3"/>
        <w:rPr>
          <w:rFonts w:hint="default" w:ascii="仿宋_GB2312" w:hAnsi="宋体" w:eastAsia="仿宋_GB2312" w:cs="仿宋_GB2312"/>
          <w:kern w:val="0"/>
          <w:lang w:val="en-US" w:eastAsia="zh-CN"/>
        </w:rPr>
      </w:pPr>
    </w:p>
    <w:p w14:paraId="0193C674">
      <w:pPr>
        <w:rPr>
          <w:rFonts w:hint="default" w:ascii="仿宋_GB2312" w:hAnsi="宋体" w:eastAsia="仿宋_GB2312" w:cs="仿宋_GB2312"/>
          <w:kern w:val="0"/>
          <w:lang w:val="en-US" w:eastAsia="zh-CN"/>
        </w:rPr>
      </w:pPr>
    </w:p>
    <w:p w14:paraId="38CA01EE">
      <w:pPr>
        <w:pStyle w:val="2"/>
        <w:rPr>
          <w:rFonts w:hint="default" w:ascii="仿宋_GB2312" w:hAnsi="宋体" w:eastAsia="仿宋_GB2312" w:cs="仿宋_GB2312"/>
          <w:kern w:val="0"/>
          <w:lang w:val="en-US" w:eastAsia="zh-CN"/>
        </w:rPr>
      </w:pPr>
    </w:p>
    <w:p w14:paraId="1F812E19">
      <w:pPr>
        <w:pStyle w:val="3"/>
        <w:rPr>
          <w:rFonts w:hint="default" w:ascii="仿宋_GB2312" w:hAnsi="宋体" w:eastAsia="仿宋_GB2312" w:cs="仿宋_GB2312"/>
          <w:kern w:val="0"/>
          <w:lang w:val="en-US" w:eastAsia="zh-CN"/>
        </w:rPr>
      </w:pPr>
    </w:p>
    <w:p w14:paraId="1D866504">
      <w:pPr>
        <w:rPr>
          <w:rFonts w:hint="default" w:ascii="仿宋_GB2312" w:hAnsi="宋体" w:eastAsia="仿宋_GB2312" w:cs="仿宋_GB2312"/>
          <w:kern w:val="0"/>
          <w:lang w:val="en-US" w:eastAsia="zh-CN"/>
        </w:rPr>
      </w:pPr>
    </w:p>
    <w:p w14:paraId="55043EFC">
      <w:pPr>
        <w:pStyle w:val="2"/>
        <w:rPr>
          <w:rFonts w:hint="default" w:ascii="仿宋_GB2312" w:hAnsi="宋体" w:eastAsia="仿宋_GB2312" w:cs="仿宋_GB2312"/>
          <w:kern w:val="0"/>
          <w:lang w:val="en-US" w:eastAsia="zh-CN"/>
        </w:rPr>
      </w:pPr>
    </w:p>
    <w:p w14:paraId="743ED9EB">
      <w:pPr>
        <w:pStyle w:val="3"/>
        <w:rPr>
          <w:rFonts w:hint="default" w:ascii="仿宋_GB2312" w:hAnsi="宋体" w:eastAsia="仿宋_GB2312" w:cs="仿宋_GB2312"/>
          <w:kern w:val="0"/>
          <w:lang w:val="en-US" w:eastAsia="zh-CN"/>
        </w:rPr>
      </w:pPr>
    </w:p>
    <w:p w14:paraId="45789C50">
      <w:pPr>
        <w:rPr>
          <w:rFonts w:hint="default" w:ascii="仿宋_GB2312" w:hAnsi="宋体" w:eastAsia="仿宋_GB2312" w:cs="仿宋_GB2312"/>
          <w:kern w:val="0"/>
          <w:lang w:val="en-US" w:eastAsia="zh-CN"/>
        </w:rPr>
      </w:pPr>
    </w:p>
    <w:p w14:paraId="043A6FEB">
      <w:pPr>
        <w:pStyle w:val="2"/>
        <w:rPr>
          <w:rFonts w:hint="default"/>
          <w:lang w:val="en-US" w:eastAsia="zh-CN"/>
        </w:rPr>
      </w:pPr>
    </w:p>
    <w:p w14:paraId="6631E53B">
      <w:pPr>
        <w:widowControl/>
        <w:shd w:val="clear"/>
        <w:ind w:firstLine="420" w:firstLineChars="200"/>
        <w:rPr>
          <w:rFonts w:hint="default" w:ascii="仿宋_GB2312" w:hAnsi="宋体" w:eastAsia="仿宋_GB2312" w:cs="仿宋_GB2312"/>
          <w:kern w:val="0"/>
          <w:lang w:val="en-US" w:eastAsia="zh-CN"/>
        </w:rPr>
      </w:pPr>
    </w:p>
    <w:p w14:paraId="3E014CB7">
      <w:pPr>
        <w:widowControl/>
        <w:shd w:val="clear"/>
        <w:ind w:firstLine="420" w:firstLineChars="200"/>
        <w:rPr>
          <w:rFonts w:hint="default" w:ascii="仿宋_GB2312" w:hAnsi="宋体" w:eastAsia="仿宋_GB2312" w:cs="仿宋_GB2312"/>
          <w:kern w:val="0"/>
          <w:lang w:val="en-US" w:eastAsia="zh-CN"/>
        </w:rPr>
      </w:pPr>
    </w:p>
    <w:p w14:paraId="5D27F32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8F52974">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63BAD84">
      <w:pPr>
        <w:shd w:val="clear"/>
        <w:jc w:val="center"/>
        <w:rPr>
          <w:rFonts w:cs="Times New Roman"/>
          <w:spacing w:val="-20"/>
        </w:rPr>
      </w:pPr>
      <w:r>
        <w:rPr>
          <w:rFonts w:hint="eastAsia" w:asciiTheme="majorEastAsia" w:hAnsiTheme="majorEastAsia" w:eastAsiaTheme="majorEastAsia" w:cstheme="majorEastAsia"/>
          <w:b/>
          <w:bCs/>
          <w:spacing w:val="-40"/>
          <w:sz w:val="44"/>
          <w:szCs w:val="44"/>
          <w:lang w:val="en-US" w:eastAsia="zh-CN"/>
        </w:rPr>
        <w:t>2023</w:t>
      </w:r>
      <w:r>
        <w:rPr>
          <w:rFonts w:hint="eastAsia" w:asciiTheme="majorEastAsia" w:hAnsiTheme="majorEastAsia" w:eastAsiaTheme="majorEastAsia" w:cstheme="majorEastAsia"/>
          <w:b/>
          <w:bCs/>
          <w:spacing w:val="-40"/>
          <w:sz w:val="44"/>
          <w:szCs w:val="44"/>
        </w:rPr>
        <w:t>年度</w:t>
      </w:r>
      <w:r>
        <w:rPr>
          <w:rFonts w:hint="eastAsia" w:asciiTheme="majorEastAsia" w:hAnsiTheme="majorEastAsia" w:eastAsiaTheme="majorEastAsia" w:cstheme="majorEastAsia"/>
          <w:b/>
          <w:bCs/>
          <w:spacing w:val="-40"/>
          <w:sz w:val="44"/>
          <w:szCs w:val="44"/>
          <w:lang w:val="en-US" w:eastAsia="zh-CN"/>
        </w:rPr>
        <w:t>用地、规划、林业等工作</w:t>
      </w:r>
      <w:r>
        <w:rPr>
          <w:rFonts w:hint="eastAsia" w:asciiTheme="majorEastAsia" w:hAnsiTheme="majorEastAsia" w:eastAsiaTheme="majorEastAsia" w:cstheme="majorEastAsia"/>
          <w:b/>
          <w:bCs/>
          <w:spacing w:val="-40"/>
          <w:sz w:val="44"/>
          <w:szCs w:val="44"/>
        </w:rPr>
        <w:t>项目自评表</w:t>
      </w:r>
      <w:r>
        <w:rPr>
          <w:rFonts w:hint="eastAsia" w:asciiTheme="majorEastAsia" w:hAnsiTheme="majorEastAsia" w:eastAsiaTheme="majorEastAsia" w:cstheme="majorEastAsia"/>
          <w:b/>
          <w:bCs/>
          <w:spacing w:val="-40"/>
          <w:sz w:val="44"/>
          <w:szCs w:val="44"/>
          <w:lang w:val="en-US" w:eastAsia="zh-CN"/>
        </w:rPr>
        <w:t>2</w:t>
      </w:r>
    </w:p>
    <w:p w14:paraId="45E55570">
      <w:pPr>
        <w:widowControl/>
        <w:shd w:val="clear"/>
        <w:ind w:firstLine="516" w:firstLineChars="200"/>
        <w:jc w:val="left"/>
        <w:rPr>
          <w:rFonts w:hint="default" w:ascii="楷体_GB2312" w:hAnsi="黑体" w:eastAsia="楷体_GB2312" w:cs="Times New Roman"/>
          <w:spacing w:val="-11"/>
          <w:kern w:val="0"/>
          <w:sz w:val="48"/>
          <w:szCs w:val="48"/>
          <w:lang w:val="en-US" w:eastAsia="zh-CN"/>
        </w:rPr>
      </w:pPr>
      <w:r>
        <w:rPr>
          <w:rFonts w:hint="eastAsia" w:ascii="楷体_GB2312" w:hAnsi="仿宋" w:eastAsia="楷体_GB2312" w:cs="楷体_GB2312"/>
          <w:spacing w:val="-11"/>
          <w:kern w:val="0"/>
          <w:sz w:val="28"/>
          <w:szCs w:val="28"/>
        </w:rPr>
        <w:t>单位名称：</w:t>
      </w:r>
      <w:r>
        <w:rPr>
          <w:rFonts w:hint="eastAsia" w:ascii="楷体_GB2312" w:hAnsi="仿宋" w:eastAsia="楷体_GB2312" w:cs="楷体_GB2312"/>
          <w:spacing w:val="-11"/>
          <w:kern w:val="0"/>
          <w:sz w:val="28"/>
          <w:szCs w:val="28"/>
          <w:lang w:eastAsia="zh-CN"/>
        </w:rPr>
        <w:t>市自规局鄂城分局</w:t>
      </w:r>
      <w:r>
        <w:rPr>
          <w:rFonts w:ascii="楷体_GB2312" w:hAnsi="仿宋" w:eastAsia="楷体_GB2312" w:cs="楷体_GB2312"/>
          <w:spacing w:val="-11"/>
          <w:kern w:val="0"/>
          <w:sz w:val="28"/>
          <w:szCs w:val="28"/>
        </w:rPr>
        <w:t xml:space="preserve">  </w:t>
      </w:r>
      <w:r>
        <w:rPr>
          <w:rFonts w:hint="eastAsia" w:ascii="楷体_GB2312" w:hAnsi="仿宋" w:eastAsia="楷体_GB2312" w:cs="楷体_GB2312"/>
          <w:spacing w:val="-11"/>
          <w:kern w:val="0"/>
          <w:sz w:val="28"/>
          <w:szCs w:val="28"/>
          <w:lang w:val="en-US" w:eastAsia="zh-CN"/>
        </w:rPr>
        <w:t xml:space="preserve">  </w:t>
      </w:r>
      <w:r>
        <w:rPr>
          <w:rFonts w:hint="eastAsia" w:ascii="楷体_GB2312" w:hAnsi="仿宋" w:eastAsia="楷体_GB2312" w:cs="楷体_GB2312"/>
          <w:spacing w:val="-11"/>
          <w:kern w:val="0"/>
          <w:sz w:val="28"/>
          <w:szCs w:val="28"/>
        </w:rPr>
        <w:t>报日期：</w:t>
      </w:r>
      <w:r>
        <w:rPr>
          <w:rFonts w:hint="eastAsia" w:ascii="楷体_GB2312" w:hAnsi="仿宋" w:eastAsia="楷体_GB2312" w:cs="楷体_GB2312"/>
          <w:spacing w:val="-11"/>
          <w:kern w:val="0"/>
          <w:sz w:val="28"/>
          <w:szCs w:val="28"/>
          <w:lang w:val="en-US" w:eastAsia="zh-CN"/>
        </w:rPr>
        <w:t>2024年3月19日</w:t>
      </w:r>
    </w:p>
    <w:tbl>
      <w:tblPr>
        <w:tblStyle w:val="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63"/>
        <w:gridCol w:w="1125"/>
        <w:gridCol w:w="1338"/>
        <w:gridCol w:w="638"/>
        <w:gridCol w:w="1303"/>
        <w:gridCol w:w="1693"/>
        <w:gridCol w:w="2068"/>
      </w:tblGrid>
      <w:tr w14:paraId="33D0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Align w:val="center"/>
          </w:tcPr>
          <w:p w14:paraId="490CADA8">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165" w:type="dxa"/>
            <w:gridSpan w:val="6"/>
            <w:vAlign w:val="center"/>
          </w:tcPr>
          <w:p w14:paraId="0E30421C">
            <w:pPr>
              <w:widowControl/>
              <w:shd w:val="clear"/>
              <w:snapToGrid w:val="0"/>
              <w:jc w:val="center"/>
              <w:rPr>
                <w:rFonts w:hint="eastAsia" w:ascii="仿宋_GB2312" w:hAnsi="宋体" w:eastAsia="仿宋_GB2312" w:cs="Times New Roman"/>
                <w:kern w:val="0"/>
                <w:lang w:eastAsia="zh-CN"/>
              </w:rPr>
            </w:pPr>
            <w:r>
              <w:rPr>
                <w:rFonts w:hint="eastAsia" w:ascii="楷体_GB2312" w:hAnsi="仿宋" w:eastAsia="楷体_GB2312" w:cs="楷体_GB2312"/>
                <w:spacing w:val="-11"/>
                <w:kern w:val="0"/>
                <w:sz w:val="28"/>
                <w:szCs w:val="28"/>
                <w:lang w:val="en-US" w:eastAsia="zh-CN"/>
              </w:rPr>
              <w:t>2022年用地、规划、林业等工作</w:t>
            </w:r>
            <w:r>
              <w:rPr>
                <w:rFonts w:hint="eastAsia" w:ascii="楷体_GB2312" w:hAnsi="仿宋" w:eastAsia="楷体_GB2312" w:cs="楷体_GB2312"/>
                <w:spacing w:val="-11"/>
                <w:kern w:val="0"/>
                <w:sz w:val="28"/>
                <w:szCs w:val="28"/>
                <w:lang w:eastAsia="zh-CN"/>
              </w:rPr>
              <w:t>项目</w:t>
            </w:r>
          </w:p>
        </w:tc>
      </w:tr>
      <w:tr w14:paraId="3796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Align w:val="center"/>
          </w:tcPr>
          <w:p w14:paraId="25DF2B3C">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101" w:type="dxa"/>
            <w:gridSpan w:val="3"/>
            <w:vAlign w:val="center"/>
          </w:tcPr>
          <w:p w14:paraId="0657D347">
            <w:pPr>
              <w:widowControl/>
              <w:shd w:val="clear"/>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市自然资源和规划局鄂城分局</w:t>
            </w:r>
            <w:r>
              <w:rPr>
                <w:rFonts w:hint="eastAsia" w:ascii="仿宋_GB2312" w:hAnsi="宋体" w:eastAsia="仿宋_GB2312" w:cs="仿宋_GB2312"/>
                <w:kern w:val="0"/>
              </w:rPr>
              <w:t>　</w:t>
            </w:r>
          </w:p>
        </w:tc>
        <w:tc>
          <w:tcPr>
            <w:tcW w:w="2996" w:type="dxa"/>
            <w:gridSpan w:val="2"/>
            <w:vAlign w:val="center"/>
          </w:tcPr>
          <w:p w14:paraId="331B7F62">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068" w:type="dxa"/>
            <w:vAlign w:val="center"/>
          </w:tcPr>
          <w:p w14:paraId="6D635983">
            <w:pPr>
              <w:widowControl/>
              <w:shd w:val="clear"/>
              <w:snapToGrid w:val="0"/>
              <w:jc w:val="center"/>
              <w:rPr>
                <w:rFonts w:hint="eastAsia" w:ascii="仿宋_GB2312" w:hAnsi="宋体" w:eastAsia="仿宋_GB2312" w:cs="仿宋_GB2312"/>
                <w:kern w:val="0"/>
              </w:rPr>
            </w:pPr>
            <w:r>
              <w:rPr>
                <w:rFonts w:hint="eastAsia" w:ascii="仿宋_GB2312" w:hAnsi="宋体" w:eastAsia="仿宋_GB2312" w:cs="仿宋_GB2312"/>
                <w:kern w:val="0"/>
                <w:lang w:eastAsia="zh-CN"/>
              </w:rPr>
              <w:t>市自然资源和规划局鄂城分局</w:t>
            </w:r>
            <w:r>
              <w:rPr>
                <w:rFonts w:hint="eastAsia" w:ascii="仿宋_GB2312" w:hAnsi="宋体" w:eastAsia="仿宋_GB2312" w:cs="仿宋_GB2312"/>
                <w:kern w:val="0"/>
              </w:rPr>
              <w:t>　</w:t>
            </w:r>
          </w:p>
        </w:tc>
      </w:tr>
      <w:tr w14:paraId="0347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Align w:val="center"/>
          </w:tcPr>
          <w:p w14:paraId="330B0726">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165" w:type="dxa"/>
            <w:gridSpan w:val="6"/>
            <w:vAlign w:val="center"/>
          </w:tcPr>
          <w:p w14:paraId="14B4D8A6">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D1B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Align w:val="center"/>
          </w:tcPr>
          <w:p w14:paraId="7F41CD96">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165" w:type="dxa"/>
            <w:gridSpan w:val="6"/>
            <w:vAlign w:val="center"/>
          </w:tcPr>
          <w:p w14:paraId="069EC393">
            <w:pPr>
              <w:widowControl/>
              <w:shd w:val="clear"/>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783C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Align w:val="center"/>
          </w:tcPr>
          <w:p w14:paraId="6EA2E11E">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165" w:type="dxa"/>
            <w:gridSpan w:val="6"/>
            <w:vAlign w:val="center"/>
          </w:tcPr>
          <w:p w14:paraId="05CB77EE">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989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Merge w:val="restart"/>
            <w:vAlign w:val="center"/>
          </w:tcPr>
          <w:p w14:paraId="001CD2E9">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5" w:type="dxa"/>
            <w:vAlign w:val="center"/>
          </w:tcPr>
          <w:p w14:paraId="5596F68F">
            <w:pPr>
              <w:widowControl/>
              <w:shd w:val="clear"/>
              <w:snapToGrid w:val="0"/>
              <w:jc w:val="center"/>
              <w:rPr>
                <w:rFonts w:ascii="仿宋_GB2312" w:hAnsi="宋体" w:eastAsia="仿宋_GB2312" w:cs="Times New Roman"/>
                <w:kern w:val="0"/>
              </w:rPr>
            </w:pPr>
          </w:p>
        </w:tc>
        <w:tc>
          <w:tcPr>
            <w:tcW w:w="1338" w:type="dxa"/>
            <w:vAlign w:val="center"/>
          </w:tcPr>
          <w:p w14:paraId="7CBC29DC">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941" w:type="dxa"/>
            <w:gridSpan w:val="2"/>
            <w:vAlign w:val="center"/>
          </w:tcPr>
          <w:p w14:paraId="383C0F14">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761" w:type="dxa"/>
            <w:gridSpan w:val="2"/>
            <w:vAlign w:val="center"/>
          </w:tcPr>
          <w:p w14:paraId="409C0F86">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5C00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1" w:type="dxa"/>
            <w:gridSpan w:val="2"/>
            <w:vMerge w:val="continue"/>
            <w:vAlign w:val="center"/>
          </w:tcPr>
          <w:p w14:paraId="081794DB">
            <w:pPr>
              <w:widowControl/>
              <w:shd w:val="clear"/>
              <w:snapToGrid w:val="0"/>
              <w:jc w:val="center"/>
              <w:rPr>
                <w:rFonts w:ascii="仿宋_GB2312" w:hAnsi="宋体" w:eastAsia="仿宋_GB2312" w:cs="Times New Roman"/>
                <w:kern w:val="0"/>
              </w:rPr>
            </w:pPr>
          </w:p>
        </w:tc>
        <w:tc>
          <w:tcPr>
            <w:tcW w:w="1125" w:type="dxa"/>
            <w:vAlign w:val="center"/>
          </w:tcPr>
          <w:p w14:paraId="5322C5C8">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38" w:type="dxa"/>
            <w:shd w:val="clear" w:color="auto" w:fill="auto"/>
            <w:vAlign w:val="center"/>
          </w:tcPr>
          <w:p w14:paraId="41CAE977">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120.05</w:t>
            </w:r>
          </w:p>
        </w:tc>
        <w:tc>
          <w:tcPr>
            <w:tcW w:w="1941" w:type="dxa"/>
            <w:gridSpan w:val="2"/>
            <w:shd w:val="clear" w:color="auto" w:fill="auto"/>
            <w:vAlign w:val="center"/>
          </w:tcPr>
          <w:p w14:paraId="40F9CE7A">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120.05</w:t>
            </w:r>
          </w:p>
        </w:tc>
        <w:tc>
          <w:tcPr>
            <w:tcW w:w="3761" w:type="dxa"/>
            <w:gridSpan w:val="2"/>
            <w:shd w:val="clear" w:color="auto" w:fill="auto"/>
            <w:vAlign w:val="center"/>
          </w:tcPr>
          <w:p w14:paraId="5D1D9B25">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100%</w:t>
            </w:r>
          </w:p>
        </w:tc>
      </w:tr>
      <w:tr w14:paraId="643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49EB82D">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57595634">
            <w:pPr>
              <w:widowControl/>
              <w:shd w:val="clear"/>
              <w:snapToGrid w:val="0"/>
              <w:jc w:val="center"/>
              <w:rPr>
                <w:rFonts w:ascii="仿宋_GB2312" w:hAnsi="宋体" w:eastAsia="仿宋_GB2312" w:cs="Times New Roman"/>
                <w:kern w:val="0"/>
              </w:rPr>
            </w:pPr>
          </w:p>
        </w:tc>
        <w:tc>
          <w:tcPr>
            <w:tcW w:w="963" w:type="dxa"/>
            <w:vAlign w:val="center"/>
          </w:tcPr>
          <w:p w14:paraId="7C16AFDF">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5" w:type="dxa"/>
            <w:vAlign w:val="center"/>
          </w:tcPr>
          <w:p w14:paraId="042CCF74">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79" w:type="dxa"/>
            <w:gridSpan w:val="3"/>
            <w:vAlign w:val="center"/>
          </w:tcPr>
          <w:p w14:paraId="2C35CDC6">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93" w:type="dxa"/>
            <w:vAlign w:val="center"/>
          </w:tcPr>
          <w:p w14:paraId="288C348B">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2068" w:type="dxa"/>
            <w:vAlign w:val="center"/>
          </w:tcPr>
          <w:p w14:paraId="36FEFCF8">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3E2F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D441887">
            <w:pPr>
              <w:shd w:val="clear"/>
              <w:snapToGrid w:val="0"/>
              <w:jc w:val="center"/>
              <w:rPr>
                <w:rFonts w:ascii="仿宋_GB2312" w:hAnsi="宋体" w:eastAsia="仿宋_GB2312" w:cs="Times New Roman"/>
                <w:kern w:val="0"/>
              </w:rPr>
            </w:pPr>
          </w:p>
        </w:tc>
        <w:tc>
          <w:tcPr>
            <w:tcW w:w="963" w:type="dxa"/>
            <w:vMerge w:val="restart"/>
            <w:vAlign w:val="center"/>
          </w:tcPr>
          <w:p w14:paraId="6DEE61A4">
            <w:pPr>
              <w:widowControl/>
              <w:shd w:val="clear"/>
              <w:snapToGrid w:val="0"/>
              <w:jc w:val="center"/>
              <w:rPr>
                <w:rFonts w:ascii="仿宋_GB2312" w:hAnsi="宋体" w:eastAsia="仿宋_GB2312" w:cs="Times New Roman"/>
                <w:kern w:val="0"/>
              </w:rPr>
            </w:pPr>
          </w:p>
        </w:tc>
        <w:tc>
          <w:tcPr>
            <w:tcW w:w="1125" w:type="dxa"/>
            <w:vMerge w:val="restart"/>
            <w:vAlign w:val="center"/>
          </w:tcPr>
          <w:p w14:paraId="7FBE78E1">
            <w:pPr>
              <w:widowControl/>
              <w:shd w:val="clear"/>
              <w:snapToGrid w:val="0"/>
              <w:jc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数量指标</w:t>
            </w:r>
          </w:p>
        </w:tc>
        <w:tc>
          <w:tcPr>
            <w:tcW w:w="3279" w:type="dxa"/>
            <w:gridSpan w:val="3"/>
            <w:shd w:val="clear" w:color="auto" w:fill="auto"/>
            <w:vAlign w:val="center"/>
          </w:tcPr>
          <w:p w14:paraId="5A8FB3D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土地征收成片开发方案编制片区数量</w:t>
            </w:r>
          </w:p>
        </w:tc>
        <w:tc>
          <w:tcPr>
            <w:tcW w:w="1693" w:type="dxa"/>
            <w:shd w:val="clear" w:color="auto" w:fill="auto"/>
            <w:vAlign w:val="center"/>
          </w:tcPr>
          <w:p w14:paraId="3887A904">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2个</w:t>
            </w:r>
          </w:p>
        </w:tc>
        <w:tc>
          <w:tcPr>
            <w:tcW w:w="2068" w:type="dxa"/>
            <w:shd w:val="clear" w:color="auto" w:fill="auto"/>
            <w:vAlign w:val="center"/>
          </w:tcPr>
          <w:p w14:paraId="127DF063">
            <w:pPr>
              <w:widowControl/>
              <w:shd w:val="clear"/>
              <w:snapToGrid w:val="0"/>
              <w:jc w:val="center"/>
              <w:rPr>
                <w:rFonts w:hint="default" w:ascii="仿宋_GB2312" w:hAnsi="宋体" w:eastAsia="仿宋_GB2312" w:cs="仿宋_GB2312"/>
                <w:kern w:val="0"/>
                <w:sz w:val="21"/>
                <w:szCs w:val="22"/>
                <w:lang w:val="en-US" w:eastAsia="zh-CN" w:bidi="ar-SA"/>
              </w:rPr>
            </w:pPr>
            <w:r>
              <w:rPr>
                <w:rFonts w:hint="default" w:ascii="仿宋_GB2312" w:hAnsi="宋体" w:eastAsia="仿宋_GB2312" w:cs="仿宋_GB2312"/>
                <w:kern w:val="0"/>
                <w:lang w:val="en-US" w:eastAsia="zh-CN"/>
              </w:rPr>
              <w:t>2个</w:t>
            </w:r>
          </w:p>
        </w:tc>
      </w:tr>
      <w:tr w14:paraId="19F6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9FDDFE6">
            <w:pPr>
              <w:shd w:val="clear"/>
              <w:snapToGrid w:val="0"/>
              <w:jc w:val="center"/>
              <w:rPr>
                <w:rFonts w:ascii="仿宋_GB2312" w:hAnsi="宋体" w:eastAsia="仿宋_GB2312" w:cs="Times New Roman"/>
                <w:kern w:val="0"/>
              </w:rPr>
            </w:pPr>
          </w:p>
        </w:tc>
        <w:tc>
          <w:tcPr>
            <w:tcW w:w="963" w:type="dxa"/>
            <w:vMerge w:val="continue"/>
            <w:vAlign w:val="center"/>
          </w:tcPr>
          <w:p w14:paraId="2676BA8C">
            <w:pPr>
              <w:widowControl/>
              <w:shd w:val="clear"/>
              <w:snapToGrid w:val="0"/>
              <w:jc w:val="center"/>
              <w:rPr>
                <w:rFonts w:ascii="仿宋_GB2312" w:hAnsi="宋体" w:eastAsia="仿宋_GB2312" w:cs="Times New Roman"/>
                <w:kern w:val="0"/>
              </w:rPr>
            </w:pPr>
          </w:p>
        </w:tc>
        <w:tc>
          <w:tcPr>
            <w:tcW w:w="1125" w:type="dxa"/>
            <w:vMerge w:val="continue"/>
            <w:vAlign w:val="center"/>
          </w:tcPr>
          <w:p w14:paraId="470E7755">
            <w:pPr>
              <w:widowControl/>
              <w:shd w:val="clear"/>
              <w:snapToGrid w:val="0"/>
              <w:jc w:val="center"/>
              <w:rPr>
                <w:rFonts w:ascii="仿宋_GB2312" w:hAnsi="宋体" w:eastAsia="仿宋_GB2312" w:cs="Times New Roman"/>
                <w:kern w:val="0"/>
              </w:rPr>
            </w:pPr>
          </w:p>
        </w:tc>
        <w:tc>
          <w:tcPr>
            <w:tcW w:w="3279" w:type="dxa"/>
            <w:gridSpan w:val="3"/>
            <w:shd w:val="clear" w:color="auto" w:fill="auto"/>
            <w:vAlign w:val="center"/>
          </w:tcPr>
          <w:p w14:paraId="3A11C82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森林、草原、湿地资源动态监测次数</w:t>
            </w:r>
          </w:p>
        </w:tc>
        <w:tc>
          <w:tcPr>
            <w:tcW w:w="1693" w:type="dxa"/>
            <w:shd w:val="clear" w:color="auto" w:fill="auto"/>
            <w:vAlign w:val="center"/>
          </w:tcPr>
          <w:p w14:paraId="1D71D642">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1次/月</w:t>
            </w:r>
          </w:p>
        </w:tc>
        <w:tc>
          <w:tcPr>
            <w:tcW w:w="2068" w:type="dxa"/>
            <w:shd w:val="clear" w:color="auto" w:fill="auto"/>
            <w:vAlign w:val="center"/>
          </w:tcPr>
          <w:p w14:paraId="17555E0F">
            <w:pPr>
              <w:widowControl/>
              <w:shd w:val="clear"/>
              <w:snapToGrid w:val="0"/>
              <w:jc w:val="center"/>
              <w:rPr>
                <w:rFonts w:hint="default" w:ascii="仿宋_GB2312" w:hAnsi="宋体" w:eastAsia="仿宋_GB2312" w:cs="仿宋_GB2312"/>
                <w:kern w:val="0"/>
                <w:sz w:val="21"/>
                <w:szCs w:val="22"/>
                <w:lang w:val="en-US" w:eastAsia="zh-CN" w:bidi="ar-SA"/>
              </w:rPr>
            </w:pPr>
            <w:r>
              <w:rPr>
                <w:rFonts w:hint="default" w:ascii="仿宋_GB2312" w:hAnsi="宋体" w:eastAsia="仿宋_GB2312" w:cs="仿宋_GB2312"/>
                <w:kern w:val="0"/>
                <w:lang w:val="en-US" w:eastAsia="zh-CN"/>
              </w:rPr>
              <w:t>1次/月</w:t>
            </w:r>
          </w:p>
        </w:tc>
      </w:tr>
      <w:tr w14:paraId="0727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EC004B1">
            <w:pPr>
              <w:shd w:val="clear"/>
              <w:snapToGrid w:val="0"/>
              <w:jc w:val="center"/>
              <w:rPr>
                <w:rFonts w:ascii="仿宋_GB2312" w:hAnsi="宋体" w:eastAsia="仿宋_GB2312" w:cs="Times New Roman"/>
                <w:kern w:val="0"/>
              </w:rPr>
            </w:pPr>
          </w:p>
        </w:tc>
        <w:tc>
          <w:tcPr>
            <w:tcW w:w="963" w:type="dxa"/>
            <w:vMerge w:val="continue"/>
            <w:vAlign w:val="center"/>
          </w:tcPr>
          <w:p w14:paraId="7D00CD27">
            <w:pPr>
              <w:widowControl/>
              <w:shd w:val="clear"/>
              <w:snapToGrid w:val="0"/>
              <w:jc w:val="center"/>
              <w:rPr>
                <w:rFonts w:ascii="仿宋_GB2312" w:hAnsi="宋体" w:eastAsia="仿宋_GB2312" w:cs="Times New Roman"/>
                <w:kern w:val="0"/>
              </w:rPr>
            </w:pPr>
          </w:p>
        </w:tc>
        <w:tc>
          <w:tcPr>
            <w:tcW w:w="1125" w:type="dxa"/>
            <w:vMerge w:val="continue"/>
            <w:vAlign w:val="center"/>
          </w:tcPr>
          <w:p w14:paraId="34884FFC">
            <w:pPr>
              <w:widowControl/>
              <w:shd w:val="clear"/>
              <w:snapToGrid w:val="0"/>
              <w:jc w:val="center"/>
              <w:rPr>
                <w:rFonts w:ascii="仿宋_GB2312" w:hAnsi="宋体" w:eastAsia="仿宋_GB2312" w:cs="Times New Roman"/>
                <w:kern w:val="0"/>
              </w:rPr>
            </w:pPr>
          </w:p>
        </w:tc>
        <w:tc>
          <w:tcPr>
            <w:tcW w:w="3279" w:type="dxa"/>
            <w:gridSpan w:val="3"/>
            <w:shd w:val="clear" w:color="auto" w:fill="auto"/>
            <w:vAlign w:val="center"/>
          </w:tcPr>
          <w:p w14:paraId="6784992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林、草、湿地资源样地调查点</w:t>
            </w:r>
          </w:p>
        </w:tc>
        <w:tc>
          <w:tcPr>
            <w:tcW w:w="1693" w:type="dxa"/>
            <w:shd w:val="clear" w:color="auto" w:fill="auto"/>
            <w:vAlign w:val="center"/>
          </w:tcPr>
          <w:p w14:paraId="423B6B8D">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≥36</w:t>
            </w:r>
          </w:p>
        </w:tc>
        <w:tc>
          <w:tcPr>
            <w:tcW w:w="2068" w:type="dxa"/>
            <w:shd w:val="clear" w:color="auto" w:fill="auto"/>
            <w:vAlign w:val="center"/>
          </w:tcPr>
          <w:p w14:paraId="4E74A4A2">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≥36</w:t>
            </w:r>
          </w:p>
        </w:tc>
      </w:tr>
      <w:tr w14:paraId="25F0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3A3CDE6">
            <w:pPr>
              <w:shd w:val="clear"/>
              <w:snapToGrid w:val="0"/>
              <w:jc w:val="center"/>
              <w:rPr>
                <w:rFonts w:ascii="仿宋_GB2312" w:hAnsi="宋体" w:eastAsia="仿宋_GB2312" w:cs="Times New Roman"/>
                <w:kern w:val="0"/>
              </w:rPr>
            </w:pPr>
          </w:p>
        </w:tc>
        <w:tc>
          <w:tcPr>
            <w:tcW w:w="963" w:type="dxa"/>
            <w:vMerge w:val="continue"/>
            <w:vAlign w:val="center"/>
          </w:tcPr>
          <w:p w14:paraId="2F65D4DE">
            <w:pPr>
              <w:widowControl/>
              <w:shd w:val="clear"/>
              <w:snapToGrid w:val="0"/>
              <w:jc w:val="center"/>
              <w:rPr>
                <w:rFonts w:ascii="仿宋_GB2312" w:hAnsi="宋体" w:eastAsia="仿宋_GB2312" w:cs="Times New Roman"/>
                <w:kern w:val="0"/>
              </w:rPr>
            </w:pPr>
          </w:p>
        </w:tc>
        <w:tc>
          <w:tcPr>
            <w:tcW w:w="1125" w:type="dxa"/>
            <w:vMerge w:val="continue"/>
            <w:vAlign w:val="center"/>
          </w:tcPr>
          <w:p w14:paraId="4536477F">
            <w:pPr>
              <w:widowControl/>
              <w:shd w:val="clear"/>
              <w:snapToGrid w:val="0"/>
              <w:jc w:val="center"/>
              <w:rPr>
                <w:rFonts w:ascii="仿宋_GB2312" w:hAnsi="宋体" w:eastAsia="仿宋_GB2312" w:cs="Times New Roman"/>
                <w:kern w:val="0"/>
              </w:rPr>
            </w:pPr>
          </w:p>
        </w:tc>
        <w:tc>
          <w:tcPr>
            <w:tcW w:w="3279" w:type="dxa"/>
            <w:gridSpan w:val="3"/>
            <w:shd w:val="clear" w:color="auto" w:fill="auto"/>
            <w:vAlign w:val="center"/>
          </w:tcPr>
          <w:p w14:paraId="1829811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国土空间规划编制和村庄布局规划样地调查点</w:t>
            </w:r>
          </w:p>
        </w:tc>
        <w:tc>
          <w:tcPr>
            <w:tcW w:w="1693" w:type="dxa"/>
            <w:shd w:val="clear" w:color="auto" w:fill="auto"/>
            <w:vAlign w:val="center"/>
          </w:tcPr>
          <w:p w14:paraId="34356544">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65个</w:t>
            </w:r>
          </w:p>
        </w:tc>
        <w:tc>
          <w:tcPr>
            <w:tcW w:w="2068" w:type="dxa"/>
            <w:shd w:val="clear" w:color="auto" w:fill="auto"/>
            <w:vAlign w:val="center"/>
          </w:tcPr>
          <w:p w14:paraId="429CB254">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65个</w:t>
            </w:r>
          </w:p>
        </w:tc>
      </w:tr>
      <w:tr w14:paraId="0A58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95273E0">
            <w:pPr>
              <w:shd w:val="clear"/>
              <w:snapToGrid w:val="0"/>
              <w:jc w:val="center"/>
              <w:rPr>
                <w:rFonts w:ascii="仿宋_GB2312" w:hAnsi="宋体" w:eastAsia="仿宋_GB2312" w:cs="Times New Roman"/>
                <w:kern w:val="0"/>
              </w:rPr>
            </w:pPr>
          </w:p>
        </w:tc>
        <w:tc>
          <w:tcPr>
            <w:tcW w:w="963" w:type="dxa"/>
            <w:vMerge w:val="continue"/>
            <w:vAlign w:val="center"/>
          </w:tcPr>
          <w:p w14:paraId="10E80B31">
            <w:pPr>
              <w:widowControl/>
              <w:shd w:val="clear"/>
              <w:snapToGrid w:val="0"/>
              <w:jc w:val="center"/>
              <w:rPr>
                <w:rFonts w:ascii="仿宋_GB2312" w:hAnsi="宋体" w:eastAsia="仿宋_GB2312" w:cs="Times New Roman"/>
                <w:kern w:val="0"/>
              </w:rPr>
            </w:pPr>
          </w:p>
        </w:tc>
        <w:tc>
          <w:tcPr>
            <w:tcW w:w="1125" w:type="dxa"/>
            <w:vMerge w:val="continue"/>
            <w:vAlign w:val="center"/>
          </w:tcPr>
          <w:p w14:paraId="4D056D0D">
            <w:pPr>
              <w:widowControl/>
              <w:shd w:val="clear"/>
              <w:snapToGrid w:val="0"/>
              <w:jc w:val="center"/>
              <w:rPr>
                <w:rFonts w:hint="eastAsia" w:ascii="仿宋_GB2312" w:hAnsi="宋体" w:eastAsia="仿宋_GB2312" w:cs="仿宋_GB2312"/>
                <w:kern w:val="0"/>
              </w:rPr>
            </w:pPr>
          </w:p>
        </w:tc>
        <w:tc>
          <w:tcPr>
            <w:tcW w:w="3279" w:type="dxa"/>
            <w:gridSpan w:val="3"/>
            <w:shd w:val="clear" w:color="auto" w:fill="auto"/>
            <w:vAlign w:val="center"/>
          </w:tcPr>
          <w:p w14:paraId="6298E46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乡村振兴样地调查点</w:t>
            </w:r>
          </w:p>
        </w:tc>
        <w:tc>
          <w:tcPr>
            <w:tcW w:w="1693" w:type="dxa"/>
            <w:shd w:val="clear" w:color="auto" w:fill="auto"/>
            <w:vAlign w:val="center"/>
          </w:tcPr>
          <w:p w14:paraId="56A002FE">
            <w:pPr>
              <w:widowControl/>
              <w:shd w:val="clear"/>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36个</w:t>
            </w:r>
          </w:p>
        </w:tc>
        <w:tc>
          <w:tcPr>
            <w:tcW w:w="2068" w:type="dxa"/>
            <w:shd w:val="clear" w:color="auto" w:fill="auto"/>
            <w:vAlign w:val="center"/>
          </w:tcPr>
          <w:p w14:paraId="639C7EE1">
            <w:pPr>
              <w:widowControl/>
              <w:shd w:val="clear"/>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36个</w:t>
            </w:r>
          </w:p>
        </w:tc>
      </w:tr>
      <w:tr w14:paraId="5BBD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4AAC23E">
            <w:pPr>
              <w:shd w:val="clear"/>
              <w:snapToGrid w:val="0"/>
              <w:jc w:val="center"/>
              <w:rPr>
                <w:rFonts w:ascii="仿宋_GB2312" w:hAnsi="宋体" w:eastAsia="仿宋_GB2312" w:cs="Times New Roman"/>
                <w:kern w:val="0"/>
              </w:rPr>
            </w:pPr>
          </w:p>
        </w:tc>
        <w:tc>
          <w:tcPr>
            <w:tcW w:w="963" w:type="dxa"/>
            <w:vMerge w:val="continue"/>
            <w:vAlign w:val="center"/>
          </w:tcPr>
          <w:p w14:paraId="69F1FB70">
            <w:pPr>
              <w:widowControl/>
              <w:shd w:val="clear"/>
              <w:snapToGrid w:val="0"/>
              <w:jc w:val="center"/>
              <w:rPr>
                <w:rFonts w:ascii="仿宋_GB2312" w:hAnsi="宋体" w:eastAsia="仿宋_GB2312" w:cs="Times New Roman"/>
                <w:kern w:val="0"/>
              </w:rPr>
            </w:pPr>
          </w:p>
        </w:tc>
        <w:tc>
          <w:tcPr>
            <w:tcW w:w="1125" w:type="dxa"/>
            <w:vAlign w:val="center"/>
          </w:tcPr>
          <w:p w14:paraId="2E4F013B">
            <w:pPr>
              <w:widowControl/>
              <w:shd w:val="clear"/>
              <w:snapToGrid w:val="0"/>
              <w:jc w:val="center"/>
              <w:rPr>
                <w:rFonts w:hint="eastAsia" w:ascii="仿宋_GB2312" w:hAnsi="宋体" w:eastAsia="仿宋_GB2312" w:cs="仿宋_GB2312"/>
                <w:kern w:val="0"/>
              </w:rPr>
            </w:pPr>
            <w:r>
              <w:rPr>
                <w:rFonts w:hint="default" w:ascii="仿宋_GB2312" w:hAnsi="宋体" w:eastAsia="仿宋_GB2312" w:cs="仿宋_GB2312"/>
                <w:i w:val="0"/>
                <w:iCs w:val="0"/>
                <w:color w:val="000000"/>
                <w:kern w:val="0"/>
                <w:sz w:val="21"/>
                <w:szCs w:val="21"/>
                <w:u w:val="none"/>
                <w:lang w:val="en-US" w:eastAsia="zh-CN" w:bidi="ar"/>
              </w:rPr>
              <w:t>质量指标</w:t>
            </w:r>
          </w:p>
        </w:tc>
        <w:tc>
          <w:tcPr>
            <w:tcW w:w="3279" w:type="dxa"/>
            <w:gridSpan w:val="3"/>
            <w:shd w:val="clear" w:color="auto" w:fill="auto"/>
            <w:vAlign w:val="center"/>
          </w:tcPr>
          <w:p w14:paraId="368380E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林、草、湿地资源样地点调查率</w:t>
            </w:r>
          </w:p>
        </w:tc>
        <w:tc>
          <w:tcPr>
            <w:tcW w:w="1693" w:type="dxa"/>
            <w:shd w:val="clear" w:color="auto" w:fill="auto"/>
            <w:vAlign w:val="center"/>
          </w:tcPr>
          <w:p w14:paraId="2EDF628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100.00%</w:t>
            </w:r>
          </w:p>
        </w:tc>
        <w:tc>
          <w:tcPr>
            <w:tcW w:w="2068" w:type="dxa"/>
            <w:shd w:val="clear" w:color="auto" w:fill="auto"/>
            <w:vAlign w:val="center"/>
          </w:tcPr>
          <w:p w14:paraId="5DFEEAA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100.00%</w:t>
            </w:r>
          </w:p>
        </w:tc>
      </w:tr>
      <w:tr w14:paraId="358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4D515E9">
            <w:pPr>
              <w:shd w:val="clear"/>
              <w:snapToGrid w:val="0"/>
              <w:jc w:val="center"/>
              <w:rPr>
                <w:rFonts w:ascii="仿宋_GB2312" w:hAnsi="宋体" w:eastAsia="仿宋_GB2312" w:cs="Times New Roman"/>
                <w:kern w:val="0"/>
              </w:rPr>
            </w:pPr>
          </w:p>
        </w:tc>
        <w:tc>
          <w:tcPr>
            <w:tcW w:w="963" w:type="dxa"/>
            <w:vMerge w:val="continue"/>
            <w:vAlign w:val="center"/>
          </w:tcPr>
          <w:p w14:paraId="2A6A8924">
            <w:pPr>
              <w:widowControl/>
              <w:shd w:val="clear"/>
              <w:snapToGrid w:val="0"/>
              <w:jc w:val="center"/>
              <w:rPr>
                <w:rFonts w:ascii="仿宋_GB2312" w:hAnsi="宋体" w:eastAsia="仿宋_GB2312" w:cs="Times New Roman"/>
                <w:kern w:val="0"/>
              </w:rPr>
            </w:pPr>
          </w:p>
        </w:tc>
        <w:tc>
          <w:tcPr>
            <w:tcW w:w="1125" w:type="dxa"/>
            <w:vAlign w:val="center"/>
          </w:tcPr>
          <w:p w14:paraId="0EFCA4BC">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时效指标</w:t>
            </w:r>
          </w:p>
        </w:tc>
        <w:tc>
          <w:tcPr>
            <w:tcW w:w="3279" w:type="dxa"/>
            <w:gridSpan w:val="3"/>
            <w:shd w:val="clear" w:color="auto" w:fill="auto"/>
            <w:vAlign w:val="center"/>
          </w:tcPr>
          <w:p w14:paraId="7046992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监测按期完成率</w:t>
            </w:r>
          </w:p>
        </w:tc>
        <w:tc>
          <w:tcPr>
            <w:tcW w:w="1693" w:type="dxa"/>
            <w:shd w:val="clear" w:color="auto" w:fill="auto"/>
            <w:vAlign w:val="center"/>
          </w:tcPr>
          <w:p w14:paraId="25BB57B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100.00%</w:t>
            </w:r>
          </w:p>
        </w:tc>
        <w:tc>
          <w:tcPr>
            <w:tcW w:w="2068" w:type="dxa"/>
            <w:shd w:val="clear" w:color="auto" w:fill="auto"/>
            <w:vAlign w:val="center"/>
          </w:tcPr>
          <w:p w14:paraId="5F11CF6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100.00%</w:t>
            </w:r>
          </w:p>
        </w:tc>
      </w:tr>
      <w:tr w14:paraId="4BA4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3E568C6">
            <w:pPr>
              <w:widowControl/>
              <w:shd w:val="clear"/>
              <w:snapToGrid w:val="0"/>
              <w:jc w:val="center"/>
              <w:rPr>
                <w:rFonts w:ascii="仿宋_GB2312" w:hAnsi="宋体" w:eastAsia="仿宋_GB2312" w:cs="Times New Roman"/>
                <w:kern w:val="0"/>
              </w:rPr>
            </w:pPr>
          </w:p>
        </w:tc>
        <w:tc>
          <w:tcPr>
            <w:tcW w:w="963" w:type="dxa"/>
            <w:vMerge w:val="restart"/>
            <w:vAlign w:val="center"/>
          </w:tcPr>
          <w:p w14:paraId="4213BC21">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5" w:type="dxa"/>
            <w:vMerge w:val="restart"/>
            <w:vAlign w:val="center"/>
          </w:tcPr>
          <w:p w14:paraId="3678010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社会效益指标</w:t>
            </w:r>
          </w:p>
          <w:p w14:paraId="35F08B77">
            <w:pPr>
              <w:widowControl/>
              <w:shd w:val="clear"/>
              <w:snapToGrid w:val="0"/>
              <w:jc w:val="center"/>
              <w:rPr>
                <w:rFonts w:ascii="仿宋_GB2312" w:hAnsi="宋体" w:eastAsia="仿宋_GB2312" w:cs="Times New Roman"/>
                <w:kern w:val="0"/>
              </w:rPr>
            </w:pPr>
          </w:p>
        </w:tc>
        <w:tc>
          <w:tcPr>
            <w:tcW w:w="3279" w:type="dxa"/>
            <w:gridSpan w:val="3"/>
            <w:shd w:val="clear" w:color="auto" w:fill="auto"/>
            <w:vAlign w:val="center"/>
          </w:tcPr>
          <w:p w14:paraId="00FC5E1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提交森林蓄积量调查数据增加</w:t>
            </w:r>
          </w:p>
        </w:tc>
        <w:tc>
          <w:tcPr>
            <w:tcW w:w="1693" w:type="dxa"/>
            <w:shd w:val="clear" w:color="auto" w:fill="auto"/>
            <w:vAlign w:val="center"/>
          </w:tcPr>
          <w:p w14:paraId="4893E67E">
            <w:pPr>
              <w:widowControl/>
              <w:shd w:val="clear"/>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≥1%</w:t>
            </w:r>
          </w:p>
        </w:tc>
        <w:tc>
          <w:tcPr>
            <w:tcW w:w="2068" w:type="dxa"/>
            <w:shd w:val="clear" w:color="auto" w:fill="auto"/>
            <w:vAlign w:val="center"/>
          </w:tcPr>
          <w:p w14:paraId="5BEF9576">
            <w:pPr>
              <w:widowControl/>
              <w:shd w:val="clear"/>
              <w:snapToGrid w:val="0"/>
              <w:jc w:val="center"/>
              <w:rPr>
                <w:rFonts w:hint="default" w:ascii="仿宋_GB2312" w:hAnsi="宋体" w:eastAsia="仿宋_GB2312" w:cs="仿宋_GB2312"/>
                <w:kern w:val="0"/>
                <w:sz w:val="21"/>
                <w:szCs w:val="22"/>
                <w:lang w:val="en-US" w:eastAsia="zh-CN" w:bidi="ar-SA"/>
              </w:rPr>
            </w:pPr>
            <w:r>
              <w:rPr>
                <w:rFonts w:hint="default" w:ascii="仿宋_GB2312" w:hAnsi="宋体" w:eastAsia="仿宋_GB2312" w:cs="仿宋_GB2312"/>
                <w:kern w:val="0"/>
                <w:lang w:val="en-US" w:eastAsia="zh-CN"/>
              </w:rPr>
              <w:t>≥1%</w:t>
            </w:r>
          </w:p>
        </w:tc>
      </w:tr>
      <w:tr w14:paraId="1FF1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2DFE70B">
            <w:pPr>
              <w:widowControl/>
              <w:shd w:val="clear"/>
              <w:snapToGrid w:val="0"/>
              <w:jc w:val="center"/>
              <w:rPr>
                <w:rFonts w:ascii="仿宋_GB2312" w:hAnsi="宋体" w:eastAsia="仿宋_GB2312" w:cs="Times New Roman"/>
                <w:kern w:val="0"/>
              </w:rPr>
            </w:pPr>
          </w:p>
        </w:tc>
        <w:tc>
          <w:tcPr>
            <w:tcW w:w="963" w:type="dxa"/>
            <w:vMerge w:val="continue"/>
            <w:vAlign w:val="center"/>
          </w:tcPr>
          <w:p w14:paraId="7F3C28BD">
            <w:pPr>
              <w:widowControl/>
              <w:shd w:val="clear"/>
              <w:snapToGrid w:val="0"/>
              <w:jc w:val="center"/>
              <w:rPr>
                <w:rFonts w:ascii="仿宋_GB2312" w:hAnsi="宋体" w:eastAsia="仿宋_GB2312" w:cs="Times New Roman"/>
                <w:kern w:val="0"/>
              </w:rPr>
            </w:pPr>
          </w:p>
        </w:tc>
        <w:tc>
          <w:tcPr>
            <w:tcW w:w="1125" w:type="dxa"/>
            <w:vMerge w:val="continue"/>
            <w:vAlign w:val="center"/>
          </w:tcPr>
          <w:p w14:paraId="4C416F47">
            <w:pPr>
              <w:widowControl/>
              <w:shd w:val="clear"/>
              <w:snapToGrid w:val="0"/>
              <w:jc w:val="center"/>
              <w:rPr>
                <w:rFonts w:ascii="仿宋_GB2312" w:hAnsi="宋体" w:eastAsia="仿宋_GB2312" w:cs="Times New Roman"/>
                <w:kern w:val="0"/>
              </w:rPr>
            </w:pPr>
          </w:p>
        </w:tc>
        <w:tc>
          <w:tcPr>
            <w:tcW w:w="3279" w:type="dxa"/>
            <w:gridSpan w:val="3"/>
            <w:vAlign w:val="center"/>
          </w:tcPr>
          <w:p w14:paraId="48DAE15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93" w:type="dxa"/>
            <w:vAlign w:val="center"/>
          </w:tcPr>
          <w:p w14:paraId="343D84FA">
            <w:pPr>
              <w:widowControl/>
              <w:shd w:val="clear"/>
              <w:snapToGrid w:val="0"/>
              <w:jc w:val="center"/>
              <w:rPr>
                <w:rFonts w:hint="default" w:ascii="仿宋_GB2312" w:hAnsi="宋体" w:eastAsia="仿宋_GB2312" w:cs="仿宋_GB2312"/>
                <w:kern w:val="0"/>
                <w:lang w:val="en-US" w:eastAsia="zh-CN"/>
              </w:rPr>
            </w:pPr>
          </w:p>
        </w:tc>
        <w:tc>
          <w:tcPr>
            <w:tcW w:w="2068" w:type="dxa"/>
            <w:vAlign w:val="center"/>
          </w:tcPr>
          <w:p w14:paraId="4D36D57F">
            <w:pPr>
              <w:widowControl/>
              <w:shd w:val="clear"/>
              <w:snapToGrid w:val="0"/>
              <w:jc w:val="center"/>
              <w:rPr>
                <w:rFonts w:hint="default" w:ascii="仿宋_GB2312" w:hAnsi="宋体" w:eastAsia="仿宋_GB2312" w:cs="仿宋_GB2312"/>
                <w:kern w:val="0"/>
                <w:sz w:val="21"/>
                <w:szCs w:val="22"/>
                <w:lang w:val="en-US" w:eastAsia="zh-CN" w:bidi="ar-SA"/>
              </w:rPr>
            </w:pPr>
          </w:p>
        </w:tc>
      </w:tr>
      <w:tr w14:paraId="6B49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FF90316">
            <w:pPr>
              <w:widowControl/>
              <w:shd w:val="clear"/>
              <w:snapToGrid w:val="0"/>
              <w:jc w:val="center"/>
              <w:rPr>
                <w:rFonts w:ascii="仿宋_GB2312" w:hAnsi="宋体" w:eastAsia="仿宋_GB2312" w:cs="Times New Roman"/>
                <w:kern w:val="0"/>
              </w:rPr>
            </w:pPr>
          </w:p>
        </w:tc>
        <w:tc>
          <w:tcPr>
            <w:tcW w:w="963" w:type="dxa"/>
            <w:vMerge w:val="continue"/>
            <w:vAlign w:val="center"/>
          </w:tcPr>
          <w:p w14:paraId="0B899EF4">
            <w:pPr>
              <w:widowControl/>
              <w:shd w:val="clear"/>
              <w:snapToGrid w:val="0"/>
              <w:jc w:val="center"/>
              <w:rPr>
                <w:rFonts w:ascii="仿宋_GB2312" w:hAnsi="宋体" w:eastAsia="仿宋_GB2312" w:cs="Times New Roman"/>
                <w:kern w:val="0"/>
              </w:rPr>
            </w:pPr>
          </w:p>
        </w:tc>
        <w:tc>
          <w:tcPr>
            <w:tcW w:w="1125" w:type="dxa"/>
            <w:vAlign w:val="center"/>
          </w:tcPr>
          <w:p w14:paraId="0B21BA4C">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生态效益指标</w:t>
            </w:r>
          </w:p>
        </w:tc>
        <w:tc>
          <w:tcPr>
            <w:tcW w:w="3279" w:type="dxa"/>
            <w:gridSpan w:val="3"/>
            <w:vAlign w:val="center"/>
          </w:tcPr>
          <w:p w14:paraId="27BAFDE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93" w:type="dxa"/>
            <w:vAlign w:val="center"/>
          </w:tcPr>
          <w:p w14:paraId="7F3FFCB4">
            <w:pPr>
              <w:widowControl/>
              <w:shd w:val="clear"/>
              <w:snapToGrid w:val="0"/>
              <w:jc w:val="center"/>
              <w:rPr>
                <w:rFonts w:hint="default" w:ascii="仿宋_GB2312" w:hAnsi="宋体" w:eastAsia="仿宋_GB2312" w:cs="仿宋_GB2312"/>
                <w:kern w:val="0"/>
                <w:lang w:val="en-US" w:eastAsia="zh-CN"/>
              </w:rPr>
            </w:pPr>
          </w:p>
        </w:tc>
        <w:tc>
          <w:tcPr>
            <w:tcW w:w="2068" w:type="dxa"/>
            <w:vAlign w:val="center"/>
          </w:tcPr>
          <w:p w14:paraId="50097E01">
            <w:pPr>
              <w:widowControl/>
              <w:shd w:val="clear"/>
              <w:snapToGrid w:val="0"/>
              <w:jc w:val="center"/>
              <w:rPr>
                <w:rFonts w:hint="default" w:ascii="仿宋_GB2312" w:hAnsi="宋体" w:eastAsia="仿宋_GB2312" w:cs="仿宋_GB2312"/>
                <w:kern w:val="0"/>
                <w:sz w:val="21"/>
                <w:szCs w:val="22"/>
                <w:lang w:val="en-US" w:eastAsia="zh-CN" w:bidi="ar-SA"/>
              </w:rPr>
            </w:pPr>
          </w:p>
        </w:tc>
      </w:tr>
      <w:tr w14:paraId="148C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E655873">
            <w:pPr>
              <w:widowControl/>
              <w:shd w:val="clear"/>
              <w:snapToGrid w:val="0"/>
              <w:jc w:val="center"/>
              <w:rPr>
                <w:rFonts w:ascii="仿宋_GB2312" w:hAnsi="宋体" w:eastAsia="仿宋_GB2312" w:cs="Times New Roman"/>
                <w:kern w:val="0"/>
              </w:rPr>
            </w:pPr>
          </w:p>
        </w:tc>
        <w:tc>
          <w:tcPr>
            <w:tcW w:w="963" w:type="dxa"/>
            <w:vMerge w:val="continue"/>
            <w:vAlign w:val="center"/>
          </w:tcPr>
          <w:p w14:paraId="075C29EC">
            <w:pPr>
              <w:widowControl/>
              <w:shd w:val="clear"/>
              <w:snapToGrid w:val="0"/>
              <w:jc w:val="center"/>
              <w:rPr>
                <w:rFonts w:ascii="仿宋_GB2312" w:hAnsi="宋体" w:eastAsia="仿宋_GB2312" w:cs="Times New Roman"/>
                <w:kern w:val="0"/>
              </w:rPr>
            </w:pPr>
          </w:p>
        </w:tc>
        <w:tc>
          <w:tcPr>
            <w:tcW w:w="1125" w:type="dxa"/>
            <w:vAlign w:val="center"/>
          </w:tcPr>
          <w:p w14:paraId="619BE0A9">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可持续影响指标</w:t>
            </w:r>
          </w:p>
        </w:tc>
        <w:tc>
          <w:tcPr>
            <w:tcW w:w="3279" w:type="dxa"/>
            <w:gridSpan w:val="3"/>
            <w:vAlign w:val="center"/>
          </w:tcPr>
          <w:p w14:paraId="3E292A7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693" w:type="dxa"/>
            <w:vAlign w:val="center"/>
          </w:tcPr>
          <w:p w14:paraId="5EF47F1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2068" w:type="dxa"/>
            <w:vAlign w:val="center"/>
          </w:tcPr>
          <w:p w14:paraId="4ED6919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r>
      <w:tr w14:paraId="5C3C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446EE8A">
            <w:pPr>
              <w:widowControl/>
              <w:shd w:val="clear"/>
              <w:snapToGrid w:val="0"/>
              <w:jc w:val="center"/>
              <w:rPr>
                <w:rFonts w:ascii="仿宋_GB2312" w:hAnsi="宋体" w:eastAsia="仿宋_GB2312" w:cs="Times New Roman"/>
                <w:kern w:val="0"/>
              </w:rPr>
            </w:pPr>
          </w:p>
        </w:tc>
        <w:tc>
          <w:tcPr>
            <w:tcW w:w="963" w:type="dxa"/>
            <w:vMerge w:val="restart"/>
            <w:vAlign w:val="center"/>
          </w:tcPr>
          <w:p w14:paraId="1256F1FC">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5" w:type="dxa"/>
            <w:vAlign w:val="center"/>
          </w:tcPr>
          <w:p w14:paraId="6F1D7143">
            <w:pPr>
              <w:keepNext w:val="0"/>
              <w:keepLines w:val="0"/>
              <w:widowControl/>
              <w:suppressLineNumbers w:val="0"/>
              <w:shd w:val="clear"/>
              <w:jc w:val="center"/>
              <w:textAlignment w:val="center"/>
              <w:rPr>
                <w:rFonts w:ascii="仿宋_GB2312" w:hAnsi="宋体" w:eastAsia="仿宋_GB2312" w:cs="仿宋_GB2312"/>
                <w:kern w:val="0"/>
              </w:rPr>
            </w:pPr>
            <w:r>
              <w:rPr>
                <w:rFonts w:hint="default" w:ascii="仿宋_GB2312" w:hAnsi="宋体" w:eastAsia="仿宋_GB2312" w:cs="仿宋_GB2312"/>
                <w:i w:val="0"/>
                <w:iCs w:val="0"/>
                <w:color w:val="000000"/>
                <w:kern w:val="0"/>
                <w:sz w:val="21"/>
                <w:szCs w:val="21"/>
                <w:u w:val="none"/>
                <w:lang w:val="en-US" w:eastAsia="zh-CN" w:bidi="ar"/>
              </w:rPr>
              <w:t>服务对象满意度指标</w:t>
            </w:r>
          </w:p>
        </w:tc>
        <w:tc>
          <w:tcPr>
            <w:tcW w:w="3279" w:type="dxa"/>
            <w:gridSpan w:val="3"/>
            <w:vAlign w:val="center"/>
          </w:tcPr>
          <w:p w14:paraId="6D3223CD">
            <w:pPr>
              <w:keepNext w:val="0"/>
              <w:keepLines w:val="0"/>
              <w:widowControl/>
              <w:suppressLineNumbers w:val="0"/>
              <w:shd w:val="clear"/>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服务对象满意度</w:t>
            </w:r>
          </w:p>
        </w:tc>
        <w:tc>
          <w:tcPr>
            <w:tcW w:w="1693" w:type="dxa"/>
            <w:vAlign w:val="center"/>
          </w:tcPr>
          <w:p w14:paraId="69462EC0">
            <w:pPr>
              <w:keepNext w:val="0"/>
              <w:keepLines w:val="0"/>
              <w:widowControl/>
              <w:suppressLineNumbers w:val="0"/>
              <w:shd w:val="clear"/>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100%</w:t>
            </w:r>
          </w:p>
        </w:tc>
        <w:tc>
          <w:tcPr>
            <w:tcW w:w="2068" w:type="dxa"/>
            <w:vAlign w:val="center"/>
          </w:tcPr>
          <w:p w14:paraId="5629A291">
            <w:pPr>
              <w:keepNext w:val="0"/>
              <w:keepLines w:val="0"/>
              <w:widowControl/>
              <w:suppressLineNumbers w:val="0"/>
              <w:shd w:val="clear"/>
              <w:jc w:val="center"/>
              <w:textAlignment w:val="center"/>
              <w:rPr>
                <w:rFonts w:ascii="仿宋_GB2312" w:hAnsi="宋体" w:eastAsia="仿宋_GB2312" w:cs="Times New Roman"/>
                <w:kern w:val="0"/>
                <w:sz w:val="21"/>
                <w:szCs w:val="22"/>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79A7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19585D6">
            <w:pPr>
              <w:widowControl/>
              <w:shd w:val="clear"/>
              <w:snapToGrid w:val="0"/>
              <w:jc w:val="center"/>
              <w:rPr>
                <w:rFonts w:ascii="仿宋_GB2312" w:hAnsi="宋体" w:eastAsia="仿宋_GB2312" w:cs="Times New Roman"/>
                <w:kern w:val="0"/>
              </w:rPr>
            </w:pPr>
          </w:p>
        </w:tc>
        <w:tc>
          <w:tcPr>
            <w:tcW w:w="963" w:type="dxa"/>
            <w:vMerge w:val="continue"/>
            <w:vAlign w:val="center"/>
          </w:tcPr>
          <w:p w14:paraId="5FFE8EAF">
            <w:pPr>
              <w:widowControl/>
              <w:shd w:val="clear"/>
              <w:snapToGrid w:val="0"/>
              <w:jc w:val="center"/>
              <w:rPr>
                <w:rFonts w:ascii="仿宋_GB2312" w:hAnsi="宋体" w:eastAsia="仿宋_GB2312" w:cs="Times New Roman"/>
                <w:kern w:val="0"/>
              </w:rPr>
            </w:pPr>
          </w:p>
        </w:tc>
        <w:tc>
          <w:tcPr>
            <w:tcW w:w="1125" w:type="dxa"/>
            <w:vAlign w:val="center"/>
          </w:tcPr>
          <w:p w14:paraId="137AFA8F">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79" w:type="dxa"/>
            <w:gridSpan w:val="3"/>
            <w:vAlign w:val="center"/>
          </w:tcPr>
          <w:p w14:paraId="4B71B7A2">
            <w:pPr>
              <w:widowControl/>
              <w:shd w:val="clear"/>
              <w:snapToGrid w:val="0"/>
              <w:jc w:val="center"/>
              <w:rPr>
                <w:rFonts w:ascii="仿宋_GB2312" w:hAnsi="宋体" w:eastAsia="仿宋_GB2312" w:cs="Times New Roman"/>
                <w:kern w:val="0"/>
              </w:rPr>
            </w:pPr>
          </w:p>
        </w:tc>
        <w:tc>
          <w:tcPr>
            <w:tcW w:w="1693" w:type="dxa"/>
            <w:vAlign w:val="center"/>
          </w:tcPr>
          <w:p w14:paraId="14F0A5AC">
            <w:pPr>
              <w:widowControl/>
              <w:shd w:val="clear"/>
              <w:snapToGrid w:val="0"/>
              <w:jc w:val="center"/>
              <w:rPr>
                <w:rFonts w:ascii="仿宋_GB2312" w:hAnsi="宋体" w:eastAsia="仿宋_GB2312" w:cs="Times New Roman"/>
                <w:kern w:val="0"/>
              </w:rPr>
            </w:pPr>
          </w:p>
        </w:tc>
        <w:tc>
          <w:tcPr>
            <w:tcW w:w="2068" w:type="dxa"/>
            <w:vAlign w:val="center"/>
          </w:tcPr>
          <w:p w14:paraId="287B6AE6">
            <w:pPr>
              <w:widowControl/>
              <w:shd w:val="clear"/>
              <w:snapToGrid w:val="0"/>
              <w:jc w:val="center"/>
              <w:rPr>
                <w:rFonts w:ascii="仿宋_GB2312" w:hAnsi="宋体" w:eastAsia="仿宋_GB2312" w:cs="Times New Roman"/>
                <w:kern w:val="0"/>
              </w:rPr>
            </w:pPr>
          </w:p>
        </w:tc>
      </w:tr>
      <w:tr w14:paraId="2065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3F2D3F1">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963" w:type="dxa"/>
            <w:vAlign w:val="center"/>
          </w:tcPr>
          <w:p w14:paraId="33620DD7">
            <w:pPr>
              <w:widowControl/>
              <w:shd w:val="clear"/>
              <w:snapToGrid w:val="0"/>
              <w:jc w:val="center"/>
              <w:rPr>
                <w:rFonts w:ascii="仿宋_GB2312" w:hAnsi="宋体" w:eastAsia="仿宋_GB2312" w:cs="Times New Roman"/>
                <w:kern w:val="0"/>
              </w:rPr>
            </w:pPr>
          </w:p>
        </w:tc>
        <w:tc>
          <w:tcPr>
            <w:tcW w:w="1125" w:type="dxa"/>
            <w:vAlign w:val="center"/>
          </w:tcPr>
          <w:p w14:paraId="30F8DBE7">
            <w:pPr>
              <w:widowControl/>
              <w:shd w:val="clear"/>
              <w:snapToGrid w:val="0"/>
              <w:jc w:val="center"/>
              <w:rPr>
                <w:rFonts w:ascii="仿宋_GB2312" w:hAnsi="宋体" w:eastAsia="仿宋_GB2312" w:cs="Times New Roman"/>
                <w:kern w:val="0"/>
              </w:rPr>
            </w:pPr>
          </w:p>
        </w:tc>
        <w:tc>
          <w:tcPr>
            <w:tcW w:w="3279" w:type="dxa"/>
            <w:gridSpan w:val="3"/>
            <w:vAlign w:val="center"/>
          </w:tcPr>
          <w:p w14:paraId="1158EC3F">
            <w:pPr>
              <w:widowControl/>
              <w:shd w:val="clear"/>
              <w:snapToGrid w:val="0"/>
              <w:jc w:val="center"/>
              <w:rPr>
                <w:rFonts w:ascii="仿宋_GB2312" w:hAnsi="宋体" w:eastAsia="仿宋_GB2312" w:cs="Times New Roman"/>
                <w:kern w:val="0"/>
              </w:rPr>
            </w:pPr>
          </w:p>
        </w:tc>
        <w:tc>
          <w:tcPr>
            <w:tcW w:w="1693" w:type="dxa"/>
            <w:vAlign w:val="center"/>
          </w:tcPr>
          <w:p w14:paraId="124D7DB8">
            <w:pPr>
              <w:widowControl/>
              <w:shd w:val="clear"/>
              <w:snapToGrid w:val="0"/>
              <w:jc w:val="center"/>
              <w:rPr>
                <w:rFonts w:ascii="仿宋_GB2312" w:hAnsi="宋体" w:eastAsia="仿宋_GB2312" w:cs="Times New Roman"/>
                <w:kern w:val="0"/>
              </w:rPr>
            </w:pPr>
          </w:p>
        </w:tc>
        <w:tc>
          <w:tcPr>
            <w:tcW w:w="2068" w:type="dxa"/>
            <w:vAlign w:val="center"/>
          </w:tcPr>
          <w:p w14:paraId="79CEEC58">
            <w:pPr>
              <w:widowControl/>
              <w:shd w:val="clear"/>
              <w:snapToGrid w:val="0"/>
              <w:jc w:val="center"/>
              <w:rPr>
                <w:rFonts w:ascii="仿宋_GB2312" w:hAnsi="宋体" w:eastAsia="仿宋_GB2312" w:cs="Times New Roman"/>
                <w:kern w:val="0"/>
              </w:rPr>
            </w:pPr>
          </w:p>
        </w:tc>
      </w:tr>
      <w:tr w14:paraId="11D2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91E79BE">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963" w:type="dxa"/>
            <w:vAlign w:val="center"/>
          </w:tcPr>
          <w:p w14:paraId="3C54513F">
            <w:pPr>
              <w:widowControl/>
              <w:shd w:val="clear"/>
              <w:snapToGrid w:val="0"/>
              <w:jc w:val="center"/>
              <w:rPr>
                <w:rFonts w:ascii="仿宋_GB2312" w:hAnsi="宋体" w:eastAsia="仿宋_GB2312" w:cs="Times New Roman"/>
                <w:kern w:val="0"/>
              </w:rPr>
            </w:pPr>
          </w:p>
        </w:tc>
        <w:tc>
          <w:tcPr>
            <w:tcW w:w="1125" w:type="dxa"/>
            <w:vAlign w:val="center"/>
          </w:tcPr>
          <w:p w14:paraId="6AEFF59E">
            <w:pPr>
              <w:widowControl/>
              <w:shd w:val="clear"/>
              <w:snapToGrid w:val="0"/>
              <w:jc w:val="center"/>
              <w:rPr>
                <w:rFonts w:ascii="仿宋_GB2312" w:hAnsi="宋体" w:eastAsia="仿宋_GB2312" w:cs="Times New Roman"/>
                <w:kern w:val="0"/>
              </w:rPr>
            </w:pPr>
          </w:p>
        </w:tc>
        <w:tc>
          <w:tcPr>
            <w:tcW w:w="3279" w:type="dxa"/>
            <w:gridSpan w:val="3"/>
            <w:vAlign w:val="center"/>
          </w:tcPr>
          <w:p w14:paraId="6BBD0493">
            <w:pPr>
              <w:widowControl/>
              <w:shd w:val="clear"/>
              <w:snapToGrid w:val="0"/>
              <w:jc w:val="center"/>
              <w:rPr>
                <w:rFonts w:ascii="仿宋_GB2312" w:hAnsi="宋体" w:eastAsia="仿宋_GB2312" w:cs="Times New Roman"/>
                <w:kern w:val="0"/>
              </w:rPr>
            </w:pPr>
          </w:p>
        </w:tc>
        <w:tc>
          <w:tcPr>
            <w:tcW w:w="1693" w:type="dxa"/>
            <w:vAlign w:val="center"/>
          </w:tcPr>
          <w:p w14:paraId="6C34EE04">
            <w:pPr>
              <w:widowControl/>
              <w:shd w:val="clear"/>
              <w:snapToGrid w:val="0"/>
              <w:jc w:val="center"/>
              <w:rPr>
                <w:rFonts w:ascii="仿宋_GB2312" w:hAnsi="宋体" w:eastAsia="仿宋_GB2312" w:cs="Times New Roman"/>
                <w:kern w:val="0"/>
              </w:rPr>
            </w:pPr>
          </w:p>
        </w:tc>
        <w:tc>
          <w:tcPr>
            <w:tcW w:w="2068" w:type="dxa"/>
            <w:vAlign w:val="center"/>
          </w:tcPr>
          <w:p w14:paraId="512E98B3">
            <w:pPr>
              <w:widowControl/>
              <w:shd w:val="clear"/>
              <w:snapToGrid w:val="0"/>
              <w:jc w:val="center"/>
              <w:rPr>
                <w:rFonts w:ascii="仿宋_GB2312" w:hAnsi="宋体" w:eastAsia="仿宋_GB2312" w:cs="Times New Roman"/>
                <w:kern w:val="0"/>
              </w:rPr>
            </w:pPr>
          </w:p>
        </w:tc>
      </w:tr>
      <w:tr w14:paraId="25F5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1" w:type="dxa"/>
            <w:gridSpan w:val="2"/>
            <w:vAlign w:val="center"/>
          </w:tcPr>
          <w:p w14:paraId="02FD6A4E">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C417A4A">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45E81319">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8165" w:type="dxa"/>
            <w:gridSpan w:val="6"/>
            <w:vAlign w:val="center"/>
          </w:tcPr>
          <w:p w14:paraId="46A11274">
            <w:pPr>
              <w:widowControl/>
              <w:shd w:val="clear"/>
              <w:jc w:val="left"/>
              <w:rPr>
                <w:rFonts w:ascii="仿宋_GB2312" w:hAnsi="宋体" w:eastAsia="仿宋_GB2312" w:cs="Times New Roman"/>
                <w:kern w:val="0"/>
              </w:rPr>
            </w:pPr>
          </w:p>
        </w:tc>
      </w:tr>
      <w:tr w14:paraId="00D6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791" w:type="dxa"/>
            <w:gridSpan w:val="2"/>
            <w:vAlign w:val="center"/>
          </w:tcPr>
          <w:p w14:paraId="4D88111C">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342385B9">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165" w:type="dxa"/>
            <w:gridSpan w:val="6"/>
            <w:vAlign w:val="center"/>
          </w:tcPr>
          <w:p w14:paraId="26B3A5D9">
            <w:pPr>
              <w:widowControl/>
              <w:shd w:val="clear"/>
              <w:jc w:val="left"/>
              <w:rPr>
                <w:rFonts w:ascii="仿宋_GB2312" w:hAnsi="宋体" w:eastAsia="仿宋_GB2312" w:cs="Times New Roman"/>
                <w:kern w:val="0"/>
              </w:rPr>
            </w:pPr>
          </w:p>
        </w:tc>
      </w:tr>
    </w:tbl>
    <w:p w14:paraId="1078D9B9">
      <w:pPr>
        <w:widowControl/>
        <w:shd w:val="clear"/>
        <w:rPr>
          <w:rFonts w:ascii="仿宋_GB2312" w:hAnsi="宋体" w:eastAsia="仿宋_GB2312" w:cs="Times New Roman"/>
          <w:kern w:val="0"/>
        </w:rPr>
      </w:pPr>
      <w:r>
        <w:rPr>
          <w:rFonts w:hint="eastAsia" w:ascii="仿宋_GB2312" w:hAnsi="宋体" w:eastAsia="仿宋_GB2312" w:cs="仿宋_GB2312"/>
          <w:kern w:val="0"/>
        </w:rPr>
        <w:t>备注：</w:t>
      </w:r>
    </w:p>
    <w:p w14:paraId="5C417A2C">
      <w:pPr>
        <w:widowControl/>
        <w:shd w:val="clear"/>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7846669D">
      <w:pPr>
        <w:widowControl/>
        <w:shd w:val="clear"/>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7A517C66">
      <w:pPr>
        <w:widowControl/>
        <w:shd w:val="clear"/>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24473F7F">
      <w:pPr>
        <w:widowControl/>
        <w:shd w:val="clear"/>
        <w:ind w:firstLine="420" w:firstLineChars="200"/>
        <w:rPr>
          <w:rFonts w:hint="eastAsia" w:ascii="仿宋_GB2312" w:hAnsi="宋体" w:eastAsia="仿宋_GB2312" w:cs="仿宋_GB2312"/>
          <w:kern w:val="0"/>
          <w:lang w:val="en-US" w:eastAsia="zh-CN"/>
        </w:rPr>
      </w:pPr>
    </w:p>
    <w:p w14:paraId="1F6F5E65">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869B8ED">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4F3EB87">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D4B7D65">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F51FF0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44995F2">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5BCE9F4">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2127C19">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A8183DF">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9CFB9B1">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CFEF862">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214CA19A">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E5F6E79">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CFC3CFD">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0ACDD26">
      <w:pPr>
        <w:pStyle w:val="2"/>
        <w:rPr>
          <w:rFonts w:hint="eastAsia" w:ascii="黑体" w:hAnsi="黑体" w:eastAsia="黑体" w:cs="黑体"/>
          <w:color w:val="auto"/>
          <w:sz w:val="32"/>
          <w:szCs w:val="32"/>
          <w:lang w:val="en-US" w:eastAsia="zh-CN"/>
        </w:rPr>
      </w:pPr>
    </w:p>
    <w:p w14:paraId="5D100AC5">
      <w:pPr>
        <w:pStyle w:val="3"/>
        <w:rPr>
          <w:rFonts w:hint="eastAsia" w:ascii="黑体" w:hAnsi="黑体" w:eastAsia="黑体" w:cs="黑体"/>
          <w:color w:val="auto"/>
          <w:sz w:val="32"/>
          <w:szCs w:val="32"/>
          <w:lang w:val="en-US" w:eastAsia="zh-CN"/>
        </w:rPr>
      </w:pPr>
    </w:p>
    <w:p w14:paraId="0B764AB5">
      <w:pPr>
        <w:rPr>
          <w:rFonts w:hint="eastAsia" w:ascii="黑体" w:hAnsi="黑体" w:eastAsia="黑体" w:cs="黑体"/>
          <w:color w:val="auto"/>
          <w:sz w:val="32"/>
          <w:szCs w:val="32"/>
          <w:lang w:val="en-US" w:eastAsia="zh-CN"/>
        </w:rPr>
      </w:pPr>
    </w:p>
    <w:p w14:paraId="0F1DAD4B">
      <w:pPr>
        <w:pStyle w:val="2"/>
        <w:rPr>
          <w:rFonts w:hint="eastAsia" w:ascii="黑体" w:hAnsi="黑体" w:eastAsia="黑体" w:cs="黑体"/>
          <w:color w:val="auto"/>
          <w:sz w:val="32"/>
          <w:szCs w:val="32"/>
          <w:lang w:val="en-US" w:eastAsia="zh-CN"/>
        </w:rPr>
      </w:pPr>
    </w:p>
    <w:p w14:paraId="152381D3">
      <w:pPr>
        <w:pStyle w:val="3"/>
        <w:rPr>
          <w:rFonts w:hint="eastAsia" w:ascii="黑体" w:hAnsi="黑体" w:eastAsia="黑体" w:cs="黑体"/>
          <w:color w:val="auto"/>
          <w:sz w:val="32"/>
          <w:szCs w:val="32"/>
          <w:lang w:val="en-US" w:eastAsia="zh-CN"/>
        </w:rPr>
      </w:pPr>
    </w:p>
    <w:p w14:paraId="0B5F4605">
      <w:pPr>
        <w:rPr>
          <w:rFonts w:hint="eastAsia" w:ascii="黑体" w:hAnsi="黑体" w:eastAsia="黑体" w:cs="黑体"/>
          <w:color w:val="auto"/>
          <w:sz w:val="32"/>
          <w:szCs w:val="32"/>
          <w:lang w:val="en-US" w:eastAsia="zh-CN"/>
        </w:rPr>
      </w:pPr>
    </w:p>
    <w:p w14:paraId="2F13D3AE">
      <w:pPr>
        <w:pStyle w:val="2"/>
        <w:rPr>
          <w:rFonts w:hint="eastAsia" w:ascii="黑体" w:hAnsi="黑体" w:eastAsia="黑体" w:cs="黑体"/>
          <w:color w:val="auto"/>
          <w:sz w:val="32"/>
          <w:szCs w:val="32"/>
          <w:lang w:val="en-US" w:eastAsia="zh-CN"/>
        </w:rPr>
      </w:pPr>
    </w:p>
    <w:p w14:paraId="105CCC53">
      <w:pPr>
        <w:pStyle w:val="3"/>
        <w:rPr>
          <w:rFonts w:hint="eastAsia" w:ascii="黑体" w:hAnsi="黑体" w:eastAsia="黑体" w:cs="黑体"/>
          <w:color w:val="auto"/>
          <w:sz w:val="32"/>
          <w:szCs w:val="32"/>
          <w:lang w:val="en-US" w:eastAsia="zh-CN"/>
        </w:rPr>
      </w:pPr>
    </w:p>
    <w:p w14:paraId="087C5B62">
      <w:pPr>
        <w:rPr>
          <w:rFonts w:hint="eastAsia"/>
          <w:lang w:val="en-US" w:eastAsia="zh-CN"/>
        </w:rPr>
      </w:pPr>
    </w:p>
    <w:p w14:paraId="2BC90AEA">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0CEB259F">
      <w:pPr>
        <w:shd w:val="clear"/>
        <w:jc w:val="center"/>
        <w:rPr>
          <w:rFonts w:hint="default" w:ascii="方正小标宋简体" w:hAnsi="宋体" w:eastAsia="方正小标宋简体" w:cs="Times New Roman"/>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矿山安全监管</w:t>
      </w:r>
      <w:r>
        <w:rPr>
          <w:rFonts w:hint="eastAsia" w:ascii="方正小标宋简体" w:hAnsi="宋体" w:eastAsia="方正小标宋简体" w:cs="方正小标宋简体"/>
          <w:sz w:val="44"/>
          <w:szCs w:val="44"/>
        </w:rPr>
        <w:t>项目自评表</w:t>
      </w:r>
      <w:r>
        <w:rPr>
          <w:rFonts w:hint="eastAsia" w:ascii="方正小标宋简体" w:hAnsi="宋体" w:eastAsia="方正小标宋简体" w:cs="方正小标宋简体"/>
          <w:sz w:val="44"/>
          <w:szCs w:val="44"/>
          <w:lang w:val="en-US" w:eastAsia="zh-CN"/>
        </w:rPr>
        <w:t>3</w:t>
      </w:r>
    </w:p>
    <w:p w14:paraId="628B678C">
      <w:pPr>
        <w:widowControl/>
        <w:shd w:val="clear"/>
        <w:ind w:firstLine="774" w:firstLineChars="300"/>
        <w:jc w:val="left"/>
        <w:rPr>
          <w:rFonts w:hint="default" w:ascii="楷体_GB2312" w:hAnsi="黑体" w:eastAsia="楷体_GB2312" w:cs="Times New Roman"/>
          <w:spacing w:val="-11"/>
          <w:kern w:val="0"/>
          <w:sz w:val="48"/>
          <w:szCs w:val="48"/>
          <w:lang w:val="en-US" w:eastAsia="zh-CN"/>
        </w:rPr>
      </w:pPr>
      <w:r>
        <w:rPr>
          <w:rFonts w:hint="eastAsia" w:ascii="楷体_GB2312" w:hAnsi="仿宋" w:eastAsia="楷体_GB2312" w:cs="楷体_GB2312"/>
          <w:spacing w:val="-11"/>
          <w:kern w:val="0"/>
          <w:sz w:val="28"/>
          <w:szCs w:val="28"/>
        </w:rPr>
        <w:t>单位名称：</w:t>
      </w:r>
      <w:r>
        <w:rPr>
          <w:rFonts w:hint="eastAsia" w:ascii="楷体_GB2312" w:hAnsi="仿宋" w:eastAsia="楷体_GB2312" w:cs="楷体_GB2312"/>
          <w:spacing w:val="-11"/>
          <w:kern w:val="0"/>
          <w:sz w:val="28"/>
          <w:szCs w:val="28"/>
          <w:lang w:eastAsia="zh-CN"/>
        </w:rPr>
        <w:t>市自然资源和规划局鄂城分局</w:t>
      </w:r>
      <w:r>
        <w:rPr>
          <w:rFonts w:ascii="楷体_GB2312" w:hAnsi="仿宋" w:eastAsia="楷体_GB2312" w:cs="楷体_GB2312"/>
          <w:spacing w:val="-11"/>
          <w:kern w:val="0"/>
          <w:sz w:val="28"/>
          <w:szCs w:val="28"/>
        </w:rPr>
        <w:t xml:space="preserve">  </w:t>
      </w:r>
      <w:r>
        <w:rPr>
          <w:rFonts w:hint="eastAsia" w:ascii="楷体_GB2312" w:hAnsi="仿宋" w:eastAsia="楷体_GB2312" w:cs="楷体_GB2312"/>
          <w:spacing w:val="-11"/>
          <w:kern w:val="0"/>
          <w:sz w:val="28"/>
          <w:szCs w:val="28"/>
          <w:lang w:val="en-US" w:eastAsia="zh-CN"/>
        </w:rPr>
        <w:t xml:space="preserve">  </w:t>
      </w:r>
      <w:r>
        <w:rPr>
          <w:rFonts w:hint="eastAsia" w:ascii="楷体_GB2312" w:hAnsi="仿宋" w:eastAsia="楷体_GB2312" w:cs="楷体_GB2312"/>
          <w:spacing w:val="-11"/>
          <w:kern w:val="0"/>
          <w:sz w:val="28"/>
          <w:szCs w:val="28"/>
        </w:rPr>
        <w:t>报日期：</w:t>
      </w:r>
      <w:r>
        <w:rPr>
          <w:rFonts w:hint="eastAsia" w:ascii="楷体_GB2312" w:hAnsi="仿宋" w:eastAsia="楷体_GB2312" w:cs="楷体_GB2312"/>
          <w:spacing w:val="-11"/>
          <w:kern w:val="0"/>
          <w:sz w:val="28"/>
          <w:szCs w:val="28"/>
          <w:lang w:val="en-US" w:eastAsia="zh-CN"/>
        </w:rPr>
        <w:t>2024年3月19日</w:t>
      </w:r>
    </w:p>
    <w:tbl>
      <w:tblPr>
        <w:tblStyle w:val="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281"/>
        <w:gridCol w:w="1445"/>
        <w:gridCol w:w="638"/>
        <w:gridCol w:w="1042"/>
        <w:gridCol w:w="1478"/>
        <w:gridCol w:w="1772"/>
      </w:tblGrid>
      <w:tr w14:paraId="4BDB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83973DE">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656" w:type="dxa"/>
            <w:gridSpan w:val="6"/>
            <w:vAlign w:val="center"/>
          </w:tcPr>
          <w:p w14:paraId="3BC28E60">
            <w:pPr>
              <w:widowControl/>
              <w:shd w:val="clear"/>
              <w:snapToGrid w:val="0"/>
              <w:jc w:val="center"/>
              <w:rPr>
                <w:rFonts w:ascii="仿宋_GB2312" w:hAnsi="宋体" w:eastAsia="仿宋_GB2312" w:cs="Times New Roman"/>
                <w:kern w:val="0"/>
              </w:rPr>
            </w:pPr>
            <w:r>
              <w:rPr>
                <w:rFonts w:hint="eastAsia" w:ascii="楷体_GB2312" w:hAnsi="仿宋" w:eastAsia="楷体_GB2312" w:cs="楷体_GB2312"/>
                <w:spacing w:val="-11"/>
                <w:kern w:val="0"/>
                <w:sz w:val="28"/>
                <w:szCs w:val="28"/>
                <w:lang w:eastAsia="zh-CN"/>
              </w:rPr>
              <w:t>矿山安全监管</w:t>
            </w:r>
          </w:p>
        </w:tc>
      </w:tr>
      <w:tr w14:paraId="6C0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C6D15EA">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5E5DCF27">
            <w:pPr>
              <w:widowControl/>
              <w:shd w:val="clear"/>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市自然资源和规划局鄂城分局</w:t>
            </w:r>
            <w:r>
              <w:rPr>
                <w:rFonts w:hint="eastAsia" w:ascii="仿宋_GB2312" w:hAnsi="宋体" w:eastAsia="仿宋_GB2312" w:cs="仿宋_GB2312"/>
                <w:kern w:val="0"/>
              </w:rPr>
              <w:t>　</w:t>
            </w:r>
          </w:p>
        </w:tc>
        <w:tc>
          <w:tcPr>
            <w:tcW w:w="2520" w:type="dxa"/>
            <w:gridSpan w:val="2"/>
            <w:vAlign w:val="center"/>
          </w:tcPr>
          <w:p w14:paraId="2BCE82DF">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14:paraId="0C2D71F6">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市自然资源和规划局鄂城分局</w:t>
            </w:r>
            <w:r>
              <w:rPr>
                <w:rFonts w:hint="eastAsia" w:ascii="仿宋_GB2312" w:hAnsi="宋体" w:eastAsia="仿宋_GB2312" w:cs="仿宋_GB2312"/>
                <w:kern w:val="0"/>
              </w:rPr>
              <w:t>　</w:t>
            </w:r>
          </w:p>
        </w:tc>
      </w:tr>
      <w:tr w14:paraId="0431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49C56D9">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656" w:type="dxa"/>
            <w:gridSpan w:val="6"/>
            <w:vAlign w:val="center"/>
          </w:tcPr>
          <w:p w14:paraId="7550B813">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1B12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F069CF3">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656" w:type="dxa"/>
            <w:gridSpan w:val="6"/>
            <w:vAlign w:val="center"/>
          </w:tcPr>
          <w:p w14:paraId="6DED3ED8">
            <w:pPr>
              <w:widowControl/>
              <w:shd w:val="clear"/>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1DF7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BF6E19C">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656" w:type="dxa"/>
            <w:gridSpan w:val="6"/>
            <w:vAlign w:val="center"/>
          </w:tcPr>
          <w:p w14:paraId="5353FAB4">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77A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75197EAF">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281" w:type="dxa"/>
            <w:vAlign w:val="center"/>
          </w:tcPr>
          <w:p w14:paraId="2E02FED3">
            <w:pPr>
              <w:widowControl/>
              <w:shd w:val="clear"/>
              <w:snapToGrid w:val="0"/>
              <w:jc w:val="center"/>
              <w:rPr>
                <w:rFonts w:ascii="仿宋_GB2312" w:hAnsi="宋体" w:eastAsia="仿宋_GB2312" w:cs="Times New Roman"/>
                <w:kern w:val="0"/>
              </w:rPr>
            </w:pPr>
          </w:p>
        </w:tc>
        <w:tc>
          <w:tcPr>
            <w:tcW w:w="1445" w:type="dxa"/>
            <w:vAlign w:val="center"/>
          </w:tcPr>
          <w:p w14:paraId="5D7B2F37">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2FA634BE">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250" w:type="dxa"/>
            <w:gridSpan w:val="2"/>
            <w:vAlign w:val="center"/>
          </w:tcPr>
          <w:p w14:paraId="08BF10A1">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2386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234E41F8">
            <w:pPr>
              <w:widowControl/>
              <w:shd w:val="clear"/>
              <w:snapToGrid w:val="0"/>
              <w:jc w:val="center"/>
              <w:rPr>
                <w:rFonts w:ascii="仿宋_GB2312" w:hAnsi="宋体" w:eastAsia="仿宋_GB2312" w:cs="Times New Roman"/>
                <w:kern w:val="0"/>
              </w:rPr>
            </w:pPr>
          </w:p>
        </w:tc>
        <w:tc>
          <w:tcPr>
            <w:tcW w:w="1281" w:type="dxa"/>
            <w:vAlign w:val="center"/>
          </w:tcPr>
          <w:p w14:paraId="7C92BCA1">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445" w:type="dxa"/>
            <w:shd w:val="clear" w:color="auto" w:fill="auto"/>
            <w:vAlign w:val="center"/>
          </w:tcPr>
          <w:p w14:paraId="42A06836">
            <w:pPr>
              <w:widowControl/>
              <w:shd w:val="clear"/>
              <w:snapToGrid w:val="0"/>
              <w:jc w:val="center"/>
              <w:rPr>
                <w:rFonts w:hint="default" w:ascii="仿宋_GB2312" w:hAnsi="宋体" w:eastAsia="仿宋_GB2312" w:cs="Times New Roman"/>
                <w:kern w:val="0"/>
                <w:highlight w:val="yellow"/>
                <w:lang w:val="en-US" w:eastAsia="zh-CN"/>
              </w:rPr>
            </w:pPr>
            <w:r>
              <w:rPr>
                <w:rFonts w:hint="eastAsia" w:ascii="仿宋_GB2312" w:hAnsi="宋体" w:eastAsia="仿宋_GB2312" w:cs="Times New Roman"/>
                <w:kern w:val="0"/>
                <w:highlight w:val="none"/>
                <w:lang w:val="en-US" w:eastAsia="zh-CN"/>
              </w:rPr>
              <w:t>3.4</w:t>
            </w:r>
          </w:p>
        </w:tc>
        <w:tc>
          <w:tcPr>
            <w:tcW w:w="1680" w:type="dxa"/>
            <w:gridSpan w:val="2"/>
            <w:shd w:val="clear" w:color="auto" w:fill="auto"/>
            <w:vAlign w:val="center"/>
          </w:tcPr>
          <w:p w14:paraId="4F6830D1">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3.4</w:t>
            </w:r>
          </w:p>
        </w:tc>
        <w:tc>
          <w:tcPr>
            <w:tcW w:w="3250" w:type="dxa"/>
            <w:gridSpan w:val="2"/>
            <w:shd w:val="clear" w:color="auto" w:fill="auto"/>
            <w:vAlign w:val="center"/>
          </w:tcPr>
          <w:p w14:paraId="59594116">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100%</w:t>
            </w:r>
          </w:p>
        </w:tc>
      </w:tr>
      <w:tr w14:paraId="3117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0B6FB63F">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54CBDF0F">
            <w:pPr>
              <w:widowControl/>
              <w:shd w:val="clear"/>
              <w:snapToGrid w:val="0"/>
              <w:jc w:val="center"/>
              <w:rPr>
                <w:rFonts w:ascii="仿宋_GB2312" w:hAnsi="宋体" w:eastAsia="仿宋_GB2312" w:cs="Times New Roman"/>
                <w:kern w:val="0"/>
              </w:rPr>
            </w:pPr>
          </w:p>
        </w:tc>
        <w:tc>
          <w:tcPr>
            <w:tcW w:w="700" w:type="dxa"/>
            <w:vAlign w:val="center"/>
          </w:tcPr>
          <w:p w14:paraId="71C4FE22">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281" w:type="dxa"/>
            <w:vAlign w:val="center"/>
          </w:tcPr>
          <w:p w14:paraId="066536AA">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25" w:type="dxa"/>
            <w:gridSpan w:val="3"/>
            <w:vAlign w:val="center"/>
          </w:tcPr>
          <w:p w14:paraId="346CEFE3">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465AE45F">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72" w:type="dxa"/>
            <w:vAlign w:val="center"/>
          </w:tcPr>
          <w:p w14:paraId="0C29D3F3">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31BD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0DDA7A8">
            <w:pPr>
              <w:shd w:val="clear"/>
              <w:snapToGrid w:val="0"/>
              <w:jc w:val="center"/>
              <w:rPr>
                <w:rFonts w:ascii="仿宋_GB2312" w:hAnsi="宋体" w:eastAsia="仿宋_GB2312" w:cs="Times New Roman"/>
                <w:kern w:val="0"/>
              </w:rPr>
            </w:pPr>
          </w:p>
        </w:tc>
        <w:tc>
          <w:tcPr>
            <w:tcW w:w="700" w:type="dxa"/>
            <w:vMerge w:val="restart"/>
            <w:vAlign w:val="center"/>
          </w:tcPr>
          <w:p w14:paraId="12908817">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281" w:type="dxa"/>
            <w:vMerge w:val="restart"/>
            <w:shd w:val="clear" w:color="auto" w:fill="auto"/>
            <w:vAlign w:val="center"/>
          </w:tcPr>
          <w:p w14:paraId="2AEED1E6">
            <w:pPr>
              <w:widowControl/>
              <w:shd w:val="clear"/>
              <w:snapToGrid w:val="0"/>
              <w:jc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数量指标</w:t>
            </w:r>
          </w:p>
        </w:tc>
        <w:tc>
          <w:tcPr>
            <w:tcW w:w="3125" w:type="dxa"/>
            <w:gridSpan w:val="3"/>
            <w:shd w:val="clear" w:color="auto" w:fill="auto"/>
            <w:vAlign w:val="center"/>
          </w:tcPr>
          <w:p w14:paraId="357918D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检查矿山数量</w:t>
            </w:r>
          </w:p>
        </w:tc>
        <w:tc>
          <w:tcPr>
            <w:tcW w:w="1478" w:type="dxa"/>
            <w:shd w:val="clear" w:color="auto" w:fill="auto"/>
            <w:vAlign w:val="center"/>
          </w:tcPr>
          <w:p w14:paraId="2BA215A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rPr>
              <w:t>≥10家</w:t>
            </w:r>
          </w:p>
        </w:tc>
        <w:tc>
          <w:tcPr>
            <w:tcW w:w="1772" w:type="dxa"/>
            <w:shd w:val="clear" w:color="auto" w:fill="auto"/>
            <w:vAlign w:val="center"/>
          </w:tcPr>
          <w:p w14:paraId="6484C5A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11家</w:t>
            </w:r>
          </w:p>
        </w:tc>
      </w:tr>
      <w:tr w14:paraId="2C5F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FD466FC">
            <w:pPr>
              <w:shd w:val="clear"/>
              <w:snapToGrid w:val="0"/>
              <w:jc w:val="center"/>
              <w:rPr>
                <w:rFonts w:ascii="仿宋_GB2312" w:hAnsi="宋体" w:eastAsia="仿宋_GB2312" w:cs="Times New Roman"/>
                <w:kern w:val="0"/>
              </w:rPr>
            </w:pPr>
          </w:p>
        </w:tc>
        <w:tc>
          <w:tcPr>
            <w:tcW w:w="700" w:type="dxa"/>
            <w:vMerge w:val="continue"/>
            <w:vAlign w:val="center"/>
          </w:tcPr>
          <w:p w14:paraId="13C3E8AA">
            <w:pPr>
              <w:shd w:val="clear"/>
              <w:snapToGrid w:val="0"/>
              <w:jc w:val="center"/>
              <w:rPr>
                <w:rFonts w:hint="eastAsia" w:ascii="仿宋_GB2312" w:hAnsi="宋体" w:eastAsia="仿宋_GB2312" w:cs="仿宋_GB2312"/>
                <w:kern w:val="0"/>
              </w:rPr>
            </w:pPr>
          </w:p>
        </w:tc>
        <w:tc>
          <w:tcPr>
            <w:tcW w:w="1281" w:type="dxa"/>
            <w:vMerge w:val="continue"/>
            <w:shd w:val="clear" w:color="auto" w:fill="auto"/>
            <w:vAlign w:val="center"/>
          </w:tcPr>
          <w:p w14:paraId="35AF228A">
            <w:pPr>
              <w:widowControl/>
              <w:shd w:val="clear"/>
              <w:snapToGrid w:val="0"/>
              <w:jc w:val="center"/>
              <w:rPr>
                <w:rFonts w:hint="default" w:ascii="仿宋_GB2312" w:hAnsi="宋体" w:eastAsia="仿宋_GB2312" w:cs="仿宋_GB2312"/>
                <w:i w:val="0"/>
                <w:iCs w:val="0"/>
                <w:color w:val="000000"/>
                <w:kern w:val="0"/>
                <w:sz w:val="21"/>
                <w:szCs w:val="21"/>
                <w:u w:val="none"/>
                <w:lang w:val="en-US" w:eastAsia="zh-CN" w:bidi="ar"/>
              </w:rPr>
            </w:pPr>
          </w:p>
        </w:tc>
        <w:tc>
          <w:tcPr>
            <w:tcW w:w="3125" w:type="dxa"/>
            <w:gridSpan w:val="3"/>
            <w:shd w:val="clear" w:color="auto" w:fill="auto"/>
            <w:vAlign w:val="center"/>
          </w:tcPr>
          <w:p w14:paraId="3160D93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开展宣传活动参加人员数量</w:t>
            </w:r>
          </w:p>
        </w:tc>
        <w:tc>
          <w:tcPr>
            <w:tcW w:w="1478" w:type="dxa"/>
            <w:shd w:val="clear" w:color="auto" w:fill="auto"/>
            <w:vAlign w:val="center"/>
          </w:tcPr>
          <w:p w14:paraId="37021C79">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≥300人次</w:t>
            </w:r>
          </w:p>
        </w:tc>
        <w:tc>
          <w:tcPr>
            <w:tcW w:w="1772" w:type="dxa"/>
            <w:shd w:val="clear" w:color="auto" w:fill="auto"/>
            <w:vAlign w:val="center"/>
          </w:tcPr>
          <w:p w14:paraId="250DE208">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350人次</w:t>
            </w:r>
          </w:p>
        </w:tc>
      </w:tr>
      <w:tr w14:paraId="19C4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8504600">
            <w:pPr>
              <w:shd w:val="clear"/>
              <w:snapToGrid w:val="0"/>
              <w:jc w:val="center"/>
              <w:rPr>
                <w:rFonts w:ascii="仿宋_GB2312" w:hAnsi="宋体" w:eastAsia="仿宋_GB2312" w:cs="Times New Roman"/>
                <w:kern w:val="0"/>
              </w:rPr>
            </w:pPr>
          </w:p>
        </w:tc>
        <w:tc>
          <w:tcPr>
            <w:tcW w:w="700" w:type="dxa"/>
            <w:vMerge w:val="continue"/>
            <w:vAlign w:val="center"/>
          </w:tcPr>
          <w:p w14:paraId="7D6DF90D">
            <w:pPr>
              <w:widowControl/>
              <w:shd w:val="clear"/>
              <w:snapToGrid w:val="0"/>
              <w:jc w:val="center"/>
              <w:rPr>
                <w:rFonts w:ascii="仿宋_GB2312" w:hAnsi="宋体" w:eastAsia="仿宋_GB2312" w:cs="Times New Roman"/>
                <w:kern w:val="0"/>
              </w:rPr>
            </w:pPr>
          </w:p>
        </w:tc>
        <w:tc>
          <w:tcPr>
            <w:tcW w:w="1281" w:type="dxa"/>
            <w:shd w:val="clear" w:color="auto" w:fill="auto"/>
            <w:vAlign w:val="center"/>
          </w:tcPr>
          <w:p w14:paraId="4CC62707">
            <w:pPr>
              <w:widowControl/>
              <w:shd w:val="clear"/>
              <w:snapToGrid w:val="0"/>
              <w:jc w:val="center"/>
              <w:rPr>
                <w:rFonts w:hint="eastAsia" w:ascii="仿宋_GB2312" w:hAnsi="宋体" w:eastAsia="仿宋_GB2312" w:cs="仿宋_GB2312"/>
                <w:kern w:val="0"/>
                <w:sz w:val="21"/>
                <w:szCs w:val="22"/>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质量指标</w:t>
            </w:r>
          </w:p>
        </w:tc>
        <w:tc>
          <w:tcPr>
            <w:tcW w:w="3125" w:type="dxa"/>
            <w:gridSpan w:val="3"/>
            <w:shd w:val="clear" w:color="auto" w:fill="auto"/>
            <w:vAlign w:val="center"/>
          </w:tcPr>
          <w:p w14:paraId="4733D09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安全检查覆盖率</w:t>
            </w:r>
          </w:p>
        </w:tc>
        <w:tc>
          <w:tcPr>
            <w:tcW w:w="1478" w:type="dxa"/>
            <w:shd w:val="clear" w:color="auto" w:fill="auto"/>
            <w:vAlign w:val="center"/>
          </w:tcPr>
          <w:p w14:paraId="18974C2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772" w:type="dxa"/>
            <w:shd w:val="clear" w:color="auto" w:fill="auto"/>
            <w:vAlign w:val="center"/>
          </w:tcPr>
          <w:p w14:paraId="3C4D269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4623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118E293">
            <w:pPr>
              <w:shd w:val="clear"/>
              <w:snapToGrid w:val="0"/>
              <w:jc w:val="center"/>
              <w:rPr>
                <w:rFonts w:ascii="仿宋_GB2312" w:hAnsi="宋体" w:eastAsia="仿宋_GB2312" w:cs="Times New Roman"/>
                <w:kern w:val="0"/>
              </w:rPr>
            </w:pPr>
          </w:p>
        </w:tc>
        <w:tc>
          <w:tcPr>
            <w:tcW w:w="700" w:type="dxa"/>
            <w:vMerge w:val="continue"/>
            <w:vAlign w:val="center"/>
          </w:tcPr>
          <w:p w14:paraId="214CFD77">
            <w:pPr>
              <w:widowControl/>
              <w:shd w:val="clear"/>
              <w:snapToGrid w:val="0"/>
              <w:jc w:val="center"/>
              <w:rPr>
                <w:rFonts w:ascii="仿宋_GB2312" w:hAnsi="宋体" w:eastAsia="仿宋_GB2312" w:cs="Times New Roman"/>
                <w:kern w:val="0"/>
              </w:rPr>
            </w:pPr>
          </w:p>
        </w:tc>
        <w:tc>
          <w:tcPr>
            <w:tcW w:w="1281" w:type="dxa"/>
            <w:shd w:val="clear" w:color="auto" w:fill="auto"/>
            <w:vAlign w:val="center"/>
          </w:tcPr>
          <w:p w14:paraId="7AE473B9">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时效指标</w:t>
            </w:r>
          </w:p>
        </w:tc>
        <w:tc>
          <w:tcPr>
            <w:tcW w:w="3125" w:type="dxa"/>
            <w:gridSpan w:val="3"/>
            <w:shd w:val="clear" w:color="auto" w:fill="auto"/>
            <w:vAlign w:val="center"/>
          </w:tcPr>
          <w:p w14:paraId="121C8A6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事故上报、处理及时率</w:t>
            </w:r>
          </w:p>
        </w:tc>
        <w:tc>
          <w:tcPr>
            <w:tcW w:w="1478" w:type="dxa"/>
            <w:shd w:val="clear" w:color="auto" w:fill="auto"/>
            <w:vAlign w:val="center"/>
          </w:tcPr>
          <w:p w14:paraId="3CCE967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及时</w:t>
            </w:r>
          </w:p>
        </w:tc>
        <w:tc>
          <w:tcPr>
            <w:tcW w:w="1772" w:type="dxa"/>
            <w:shd w:val="clear" w:color="auto" w:fill="auto"/>
            <w:vAlign w:val="center"/>
          </w:tcPr>
          <w:p w14:paraId="01DF01E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完成</w:t>
            </w:r>
          </w:p>
        </w:tc>
      </w:tr>
      <w:tr w14:paraId="508E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387F2B6">
            <w:pPr>
              <w:shd w:val="clear"/>
              <w:snapToGrid w:val="0"/>
              <w:jc w:val="center"/>
              <w:rPr>
                <w:rFonts w:ascii="仿宋_GB2312" w:hAnsi="宋体" w:eastAsia="仿宋_GB2312" w:cs="Times New Roman"/>
                <w:kern w:val="0"/>
              </w:rPr>
            </w:pPr>
          </w:p>
        </w:tc>
        <w:tc>
          <w:tcPr>
            <w:tcW w:w="700" w:type="dxa"/>
            <w:vMerge w:val="continue"/>
            <w:vAlign w:val="center"/>
          </w:tcPr>
          <w:p w14:paraId="1AA1EEFC">
            <w:pPr>
              <w:widowControl/>
              <w:shd w:val="clear"/>
              <w:snapToGrid w:val="0"/>
              <w:jc w:val="center"/>
              <w:rPr>
                <w:rFonts w:ascii="仿宋_GB2312" w:hAnsi="宋体" w:eastAsia="仿宋_GB2312" w:cs="Times New Roman"/>
                <w:kern w:val="0"/>
              </w:rPr>
            </w:pPr>
          </w:p>
        </w:tc>
        <w:tc>
          <w:tcPr>
            <w:tcW w:w="1281" w:type="dxa"/>
            <w:vAlign w:val="center"/>
          </w:tcPr>
          <w:p w14:paraId="0455E401">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成本指标</w:t>
            </w:r>
          </w:p>
        </w:tc>
        <w:tc>
          <w:tcPr>
            <w:tcW w:w="3125" w:type="dxa"/>
            <w:gridSpan w:val="3"/>
            <w:vAlign w:val="center"/>
          </w:tcPr>
          <w:p w14:paraId="5ED760D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478" w:type="dxa"/>
            <w:vAlign w:val="center"/>
          </w:tcPr>
          <w:p w14:paraId="5DAA1D0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772" w:type="dxa"/>
            <w:vAlign w:val="center"/>
          </w:tcPr>
          <w:p w14:paraId="5C81C87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r>
      <w:tr w14:paraId="39A8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F387FFF">
            <w:pPr>
              <w:widowControl/>
              <w:shd w:val="clear"/>
              <w:snapToGrid w:val="0"/>
              <w:jc w:val="center"/>
              <w:rPr>
                <w:rFonts w:ascii="仿宋_GB2312" w:hAnsi="宋体" w:eastAsia="仿宋_GB2312" w:cs="Times New Roman"/>
                <w:kern w:val="0"/>
              </w:rPr>
            </w:pPr>
          </w:p>
        </w:tc>
        <w:tc>
          <w:tcPr>
            <w:tcW w:w="700" w:type="dxa"/>
            <w:vMerge w:val="restart"/>
            <w:vAlign w:val="center"/>
          </w:tcPr>
          <w:p w14:paraId="3F01C3A5">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281" w:type="dxa"/>
            <w:vAlign w:val="center"/>
          </w:tcPr>
          <w:p w14:paraId="10707C6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社会效益</w:t>
            </w:r>
          </w:p>
          <w:p w14:paraId="08980DED">
            <w:pPr>
              <w:keepNext w:val="0"/>
              <w:keepLines w:val="0"/>
              <w:widowControl/>
              <w:suppressLineNumbers w:val="0"/>
              <w:shd w:val="clear"/>
              <w:jc w:val="center"/>
              <w:textAlignment w:val="center"/>
              <w:rPr>
                <w:rFonts w:ascii="仿宋_GB2312" w:hAnsi="宋体" w:eastAsia="仿宋_GB2312" w:cs="Times New Roman"/>
                <w:kern w:val="0"/>
                <w:sz w:val="21"/>
                <w:szCs w:val="22"/>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指标</w:t>
            </w:r>
          </w:p>
        </w:tc>
        <w:tc>
          <w:tcPr>
            <w:tcW w:w="3125" w:type="dxa"/>
            <w:gridSpan w:val="3"/>
            <w:vAlign w:val="center"/>
          </w:tcPr>
          <w:p w14:paraId="0965CF2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矿山落实安全生产情况</w:t>
            </w:r>
          </w:p>
        </w:tc>
        <w:tc>
          <w:tcPr>
            <w:tcW w:w="1478" w:type="dxa"/>
            <w:vAlign w:val="center"/>
          </w:tcPr>
          <w:p w14:paraId="59CF985C">
            <w:pPr>
              <w:widowControl/>
              <w:shd w:val="clear"/>
              <w:snapToGrid w:val="0"/>
              <w:jc w:val="center"/>
              <w:rPr>
                <w:rFonts w:hint="default" w:ascii="仿宋_GB2312" w:hAnsi="宋体" w:eastAsia="仿宋_GB2312" w:cs="仿宋_GB2312"/>
                <w:kern w:val="0"/>
                <w:sz w:val="21"/>
                <w:szCs w:val="22"/>
                <w:lang w:val="en-US" w:eastAsia="zh-CN" w:bidi="ar-SA"/>
              </w:rPr>
            </w:pPr>
            <w:r>
              <w:rPr>
                <w:rFonts w:hint="default" w:ascii="仿宋_GB2312" w:hAnsi="宋体" w:eastAsia="仿宋_GB2312" w:cs="仿宋_GB2312"/>
                <w:kern w:val="0"/>
                <w:lang w:val="en-US" w:eastAsia="zh-CN"/>
              </w:rPr>
              <w:t>严格落实</w:t>
            </w:r>
          </w:p>
        </w:tc>
        <w:tc>
          <w:tcPr>
            <w:tcW w:w="1772" w:type="dxa"/>
            <w:vAlign w:val="center"/>
          </w:tcPr>
          <w:p w14:paraId="28ED329B">
            <w:pPr>
              <w:widowControl/>
              <w:shd w:val="clear"/>
              <w:snapToGrid w:val="0"/>
              <w:jc w:val="center"/>
              <w:rPr>
                <w:rFonts w:hint="default" w:ascii="仿宋_GB2312" w:hAnsi="宋体" w:eastAsia="仿宋_GB2312" w:cs="仿宋_GB2312"/>
                <w:kern w:val="0"/>
                <w:sz w:val="21"/>
                <w:szCs w:val="22"/>
                <w:lang w:val="en-US" w:eastAsia="zh-CN" w:bidi="ar-SA"/>
              </w:rPr>
            </w:pPr>
            <w:r>
              <w:rPr>
                <w:rFonts w:hint="default" w:ascii="仿宋_GB2312" w:hAnsi="宋体" w:eastAsia="仿宋_GB2312" w:cs="仿宋_GB2312"/>
                <w:kern w:val="0"/>
                <w:lang w:val="en-US" w:eastAsia="zh-CN"/>
              </w:rPr>
              <w:t>完成</w:t>
            </w:r>
          </w:p>
        </w:tc>
      </w:tr>
      <w:tr w14:paraId="7422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6A4C0A4">
            <w:pPr>
              <w:widowControl/>
              <w:shd w:val="clear"/>
              <w:snapToGrid w:val="0"/>
              <w:jc w:val="center"/>
              <w:rPr>
                <w:rFonts w:ascii="仿宋_GB2312" w:hAnsi="宋体" w:eastAsia="仿宋_GB2312" w:cs="Times New Roman"/>
                <w:kern w:val="0"/>
              </w:rPr>
            </w:pPr>
          </w:p>
        </w:tc>
        <w:tc>
          <w:tcPr>
            <w:tcW w:w="700" w:type="dxa"/>
            <w:vMerge w:val="continue"/>
            <w:vAlign w:val="center"/>
          </w:tcPr>
          <w:p w14:paraId="22B42EAD">
            <w:pPr>
              <w:widowControl/>
              <w:shd w:val="clear"/>
              <w:snapToGrid w:val="0"/>
              <w:jc w:val="center"/>
              <w:rPr>
                <w:rFonts w:ascii="仿宋_GB2312" w:hAnsi="宋体" w:eastAsia="仿宋_GB2312" w:cs="Times New Roman"/>
                <w:kern w:val="0"/>
              </w:rPr>
            </w:pPr>
          </w:p>
        </w:tc>
        <w:tc>
          <w:tcPr>
            <w:tcW w:w="1281" w:type="dxa"/>
            <w:vAlign w:val="center"/>
          </w:tcPr>
          <w:p w14:paraId="0DED9A5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可持续影响指标</w:t>
            </w:r>
          </w:p>
        </w:tc>
        <w:tc>
          <w:tcPr>
            <w:tcW w:w="3125" w:type="dxa"/>
            <w:gridSpan w:val="3"/>
            <w:vAlign w:val="center"/>
          </w:tcPr>
          <w:p w14:paraId="23E38DD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478" w:type="dxa"/>
            <w:vAlign w:val="center"/>
          </w:tcPr>
          <w:p w14:paraId="0265F43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772" w:type="dxa"/>
            <w:vAlign w:val="center"/>
          </w:tcPr>
          <w:p w14:paraId="17D6A4C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r>
      <w:tr w14:paraId="6B5B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6E7D65A">
            <w:pPr>
              <w:widowControl/>
              <w:shd w:val="clear"/>
              <w:snapToGrid w:val="0"/>
              <w:jc w:val="center"/>
              <w:rPr>
                <w:rFonts w:ascii="仿宋_GB2312" w:hAnsi="宋体" w:eastAsia="仿宋_GB2312" w:cs="Times New Roman"/>
                <w:kern w:val="0"/>
              </w:rPr>
            </w:pPr>
          </w:p>
        </w:tc>
        <w:tc>
          <w:tcPr>
            <w:tcW w:w="700" w:type="dxa"/>
            <w:vMerge w:val="restart"/>
            <w:vAlign w:val="center"/>
          </w:tcPr>
          <w:p w14:paraId="1F3331F7">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281" w:type="dxa"/>
            <w:vAlign w:val="center"/>
          </w:tcPr>
          <w:p w14:paraId="2B6974F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服务对象满意度指标</w:t>
            </w:r>
          </w:p>
        </w:tc>
        <w:tc>
          <w:tcPr>
            <w:tcW w:w="3125" w:type="dxa"/>
            <w:gridSpan w:val="3"/>
            <w:vAlign w:val="center"/>
          </w:tcPr>
          <w:p w14:paraId="2304D78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服务对象满意度</w:t>
            </w:r>
          </w:p>
        </w:tc>
        <w:tc>
          <w:tcPr>
            <w:tcW w:w="1478" w:type="dxa"/>
            <w:vAlign w:val="center"/>
          </w:tcPr>
          <w:p w14:paraId="31A43AAB">
            <w:pPr>
              <w:keepNext w:val="0"/>
              <w:keepLines w:val="0"/>
              <w:widowControl/>
              <w:suppressLineNumbers w:val="0"/>
              <w:shd w:val="clear"/>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100%</w:t>
            </w:r>
          </w:p>
        </w:tc>
        <w:tc>
          <w:tcPr>
            <w:tcW w:w="1772" w:type="dxa"/>
            <w:vAlign w:val="center"/>
          </w:tcPr>
          <w:p w14:paraId="1565A2DA">
            <w:pPr>
              <w:keepNext w:val="0"/>
              <w:keepLines w:val="0"/>
              <w:widowControl/>
              <w:suppressLineNumbers w:val="0"/>
              <w:shd w:val="clear"/>
              <w:jc w:val="center"/>
              <w:textAlignment w:val="center"/>
              <w:rPr>
                <w:rFonts w:ascii="仿宋_GB2312" w:hAnsi="宋体" w:eastAsia="仿宋_GB2312" w:cs="Times New Roman"/>
                <w:kern w:val="0"/>
                <w:sz w:val="21"/>
                <w:szCs w:val="22"/>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60FC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4355476">
            <w:pPr>
              <w:widowControl/>
              <w:shd w:val="clear"/>
              <w:snapToGrid w:val="0"/>
              <w:jc w:val="center"/>
              <w:rPr>
                <w:rFonts w:ascii="仿宋_GB2312" w:hAnsi="宋体" w:eastAsia="仿宋_GB2312" w:cs="Times New Roman"/>
                <w:kern w:val="0"/>
              </w:rPr>
            </w:pPr>
          </w:p>
        </w:tc>
        <w:tc>
          <w:tcPr>
            <w:tcW w:w="700" w:type="dxa"/>
            <w:vMerge w:val="continue"/>
            <w:vAlign w:val="center"/>
          </w:tcPr>
          <w:p w14:paraId="3338426B">
            <w:pPr>
              <w:widowControl/>
              <w:shd w:val="clear"/>
              <w:snapToGrid w:val="0"/>
              <w:jc w:val="center"/>
              <w:rPr>
                <w:rFonts w:ascii="仿宋_GB2312" w:hAnsi="宋体" w:eastAsia="仿宋_GB2312" w:cs="Times New Roman"/>
                <w:kern w:val="0"/>
              </w:rPr>
            </w:pPr>
          </w:p>
        </w:tc>
        <w:tc>
          <w:tcPr>
            <w:tcW w:w="1281" w:type="dxa"/>
            <w:vAlign w:val="center"/>
          </w:tcPr>
          <w:p w14:paraId="59ED745C">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125" w:type="dxa"/>
            <w:gridSpan w:val="3"/>
            <w:vAlign w:val="center"/>
          </w:tcPr>
          <w:p w14:paraId="1B0B3F60">
            <w:pPr>
              <w:widowControl/>
              <w:shd w:val="clear"/>
              <w:snapToGrid w:val="0"/>
              <w:jc w:val="center"/>
              <w:rPr>
                <w:rFonts w:ascii="仿宋_GB2312" w:hAnsi="宋体" w:eastAsia="仿宋_GB2312" w:cs="Times New Roman"/>
                <w:kern w:val="0"/>
              </w:rPr>
            </w:pPr>
          </w:p>
        </w:tc>
        <w:tc>
          <w:tcPr>
            <w:tcW w:w="1478" w:type="dxa"/>
            <w:vAlign w:val="center"/>
          </w:tcPr>
          <w:p w14:paraId="73849ABD">
            <w:pPr>
              <w:widowControl/>
              <w:shd w:val="clear"/>
              <w:snapToGrid w:val="0"/>
              <w:jc w:val="center"/>
              <w:rPr>
                <w:rFonts w:ascii="仿宋_GB2312" w:hAnsi="宋体" w:eastAsia="仿宋_GB2312" w:cs="Times New Roman"/>
                <w:kern w:val="0"/>
              </w:rPr>
            </w:pPr>
          </w:p>
        </w:tc>
        <w:tc>
          <w:tcPr>
            <w:tcW w:w="1772" w:type="dxa"/>
            <w:vAlign w:val="center"/>
          </w:tcPr>
          <w:p w14:paraId="6DAC17CA">
            <w:pPr>
              <w:widowControl/>
              <w:shd w:val="clear"/>
              <w:snapToGrid w:val="0"/>
              <w:jc w:val="center"/>
              <w:rPr>
                <w:rFonts w:ascii="仿宋_GB2312" w:hAnsi="宋体" w:eastAsia="仿宋_GB2312" w:cs="Times New Roman"/>
                <w:kern w:val="0"/>
              </w:rPr>
            </w:pPr>
          </w:p>
        </w:tc>
      </w:tr>
      <w:tr w14:paraId="3B9A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5A5DF16">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14:paraId="09FA223C">
            <w:pPr>
              <w:widowControl/>
              <w:shd w:val="clear"/>
              <w:snapToGrid w:val="0"/>
              <w:jc w:val="center"/>
              <w:rPr>
                <w:rFonts w:ascii="仿宋_GB2312" w:hAnsi="宋体" w:eastAsia="仿宋_GB2312" w:cs="Times New Roman"/>
                <w:kern w:val="0"/>
              </w:rPr>
            </w:pPr>
          </w:p>
        </w:tc>
        <w:tc>
          <w:tcPr>
            <w:tcW w:w="1281" w:type="dxa"/>
            <w:vAlign w:val="center"/>
          </w:tcPr>
          <w:p w14:paraId="3B90C792">
            <w:pPr>
              <w:widowControl/>
              <w:shd w:val="clear"/>
              <w:snapToGrid w:val="0"/>
              <w:jc w:val="center"/>
              <w:rPr>
                <w:rFonts w:ascii="仿宋_GB2312" w:hAnsi="宋体" w:eastAsia="仿宋_GB2312" w:cs="Times New Roman"/>
                <w:kern w:val="0"/>
              </w:rPr>
            </w:pPr>
          </w:p>
        </w:tc>
        <w:tc>
          <w:tcPr>
            <w:tcW w:w="3125" w:type="dxa"/>
            <w:gridSpan w:val="3"/>
            <w:vAlign w:val="center"/>
          </w:tcPr>
          <w:p w14:paraId="79E37516">
            <w:pPr>
              <w:widowControl/>
              <w:shd w:val="clear"/>
              <w:snapToGrid w:val="0"/>
              <w:jc w:val="center"/>
              <w:rPr>
                <w:rFonts w:ascii="仿宋_GB2312" w:hAnsi="宋体" w:eastAsia="仿宋_GB2312" w:cs="Times New Roman"/>
                <w:kern w:val="0"/>
              </w:rPr>
            </w:pPr>
          </w:p>
        </w:tc>
        <w:tc>
          <w:tcPr>
            <w:tcW w:w="1478" w:type="dxa"/>
            <w:vAlign w:val="center"/>
          </w:tcPr>
          <w:p w14:paraId="54D9E446">
            <w:pPr>
              <w:widowControl/>
              <w:shd w:val="clear"/>
              <w:snapToGrid w:val="0"/>
              <w:jc w:val="center"/>
              <w:rPr>
                <w:rFonts w:ascii="仿宋_GB2312" w:hAnsi="宋体" w:eastAsia="仿宋_GB2312" w:cs="Times New Roman"/>
                <w:kern w:val="0"/>
              </w:rPr>
            </w:pPr>
          </w:p>
        </w:tc>
        <w:tc>
          <w:tcPr>
            <w:tcW w:w="1772" w:type="dxa"/>
            <w:vAlign w:val="center"/>
          </w:tcPr>
          <w:p w14:paraId="024186B2">
            <w:pPr>
              <w:widowControl/>
              <w:shd w:val="clear"/>
              <w:snapToGrid w:val="0"/>
              <w:jc w:val="center"/>
              <w:rPr>
                <w:rFonts w:ascii="仿宋_GB2312" w:hAnsi="宋体" w:eastAsia="仿宋_GB2312" w:cs="Times New Roman"/>
                <w:kern w:val="0"/>
              </w:rPr>
            </w:pPr>
          </w:p>
        </w:tc>
      </w:tr>
      <w:tr w14:paraId="63ED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56DF233">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14:paraId="318E6F92">
            <w:pPr>
              <w:widowControl/>
              <w:shd w:val="clear"/>
              <w:snapToGrid w:val="0"/>
              <w:jc w:val="center"/>
              <w:rPr>
                <w:rFonts w:ascii="仿宋_GB2312" w:hAnsi="宋体" w:eastAsia="仿宋_GB2312" w:cs="Times New Roman"/>
                <w:kern w:val="0"/>
              </w:rPr>
            </w:pPr>
          </w:p>
        </w:tc>
        <w:tc>
          <w:tcPr>
            <w:tcW w:w="1281" w:type="dxa"/>
            <w:vAlign w:val="center"/>
          </w:tcPr>
          <w:p w14:paraId="3852C4B0">
            <w:pPr>
              <w:widowControl/>
              <w:shd w:val="clear"/>
              <w:snapToGrid w:val="0"/>
              <w:jc w:val="center"/>
              <w:rPr>
                <w:rFonts w:ascii="仿宋_GB2312" w:hAnsi="宋体" w:eastAsia="仿宋_GB2312" w:cs="Times New Roman"/>
                <w:kern w:val="0"/>
              </w:rPr>
            </w:pPr>
          </w:p>
        </w:tc>
        <w:tc>
          <w:tcPr>
            <w:tcW w:w="3125" w:type="dxa"/>
            <w:gridSpan w:val="3"/>
            <w:vAlign w:val="center"/>
          </w:tcPr>
          <w:p w14:paraId="4AF96CDD">
            <w:pPr>
              <w:widowControl/>
              <w:shd w:val="clear"/>
              <w:snapToGrid w:val="0"/>
              <w:jc w:val="center"/>
              <w:rPr>
                <w:rFonts w:ascii="仿宋_GB2312" w:hAnsi="宋体" w:eastAsia="仿宋_GB2312" w:cs="Times New Roman"/>
                <w:kern w:val="0"/>
              </w:rPr>
            </w:pPr>
          </w:p>
        </w:tc>
        <w:tc>
          <w:tcPr>
            <w:tcW w:w="1478" w:type="dxa"/>
            <w:vAlign w:val="center"/>
          </w:tcPr>
          <w:p w14:paraId="4D185B5B">
            <w:pPr>
              <w:widowControl/>
              <w:shd w:val="clear"/>
              <w:snapToGrid w:val="0"/>
              <w:jc w:val="center"/>
              <w:rPr>
                <w:rFonts w:ascii="仿宋_GB2312" w:hAnsi="宋体" w:eastAsia="仿宋_GB2312" w:cs="Times New Roman"/>
                <w:kern w:val="0"/>
              </w:rPr>
            </w:pPr>
          </w:p>
        </w:tc>
        <w:tc>
          <w:tcPr>
            <w:tcW w:w="1772" w:type="dxa"/>
            <w:vAlign w:val="center"/>
          </w:tcPr>
          <w:p w14:paraId="07ED00D7">
            <w:pPr>
              <w:widowControl/>
              <w:shd w:val="clear"/>
              <w:snapToGrid w:val="0"/>
              <w:jc w:val="center"/>
              <w:rPr>
                <w:rFonts w:ascii="仿宋_GB2312" w:hAnsi="宋体" w:eastAsia="仿宋_GB2312" w:cs="Times New Roman"/>
                <w:kern w:val="0"/>
              </w:rPr>
            </w:pPr>
          </w:p>
        </w:tc>
      </w:tr>
      <w:tr w14:paraId="752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56C9EBC4">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BB04FCF">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72C716BB">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656" w:type="dxa"/>
            <w:gridSpan w:val="6"/>
            <w:vAlign w:val="center"/>
          </w:tcPr>
          <w:p w14:paraId="19D505BC">
            <w:pPr>
              <w:widowControl/>
              <w:shd w:val="clear"/>
              <w:jc w:val="left"/>
              <w:rPr>
                <w:rFonts w:ascii="仿宋_GB2312" w:hAnsi="宋体" w:eastAsia="仿宋_GB2312" w:cs="Times New Roman"/>
                <w:kern w:val="0"/>
              </w:rPr>
            </w:pPr>
          </w:p>
        </w:tc>
      </w:tr>
      <w:tr w14:paraId="193C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01577001">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1BC3110A">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656" w:type="dxa"/>
            <w:gridSpan w:val="6"/>
            <w:vAlign w:val="center"/>
          </w:tcPr>
          <w:p w14:paraId="1040F889">
            <w:pPr>
              <w:widowControl/>
              <w:shd w:val="clear"/>
              <w:jc w:val="left"/>
              <w:rPr>
                <w:rFonts w:ascii="仿宋_GB2312" w:hAnsi="宋体" w:eastAsia="仿宋_GB2312" w:cs="Times New Roman"/>
                <w:kern w:val="0"/>
              </w:rPr>
            </w:pPr>
          </w:p>
        </w:tc>
      </w:tr>
    </w:tbl>
    <w:p w14:paraId="073ABF84">
      <w:pPr>
        <w:widowControl/>
        <w:shd w:val="clear"/>
        <w:rPr>
          <w:rFonts w:ascii="仿宋_GB2312" w:hAnsi="宋体" w:eastAsia="仿宋_GB2312" w:cs="Times New Roman"/>
          <w:kern w:val="0"/>
        </w:rPr>
      </w:pPr>
      <w:r>
        <w:rPr>
          <w:rFonts w:hint="eastAsia" w:ascii="仿宋_GB2312" w:hAnsi="宋体" w:eastAsia="仿宋_GB2312" w:cs="仿宋_GB2312"/>
          <w:kern w:val="0"/>
        </w:rPr>
        <w:t>备注：</w:t>
      </w:r>
    </w:p>
    <w:p w14:paraId="0F1D97F2">
      <w:pPr>
        <w:widowControl/>
        <w:shd w:val="clear"/>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2A441A3A">
      <w:pPr>
        <w:widowControl/>
        <w:shd w:val="clear"/>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1FAFFBFF">
      <w:pPr>
        <w:widowControl/>
        <w:shd w:val="clear"/>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2309F605">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EFFA365">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3D0439F">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9FE8C8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7315B2B">
      <w:pPr>
        <w:pStyle w:val="2"/>
        <w:rPr>
          <w:rFonts w:hint="eastAsia" w:ascii="黑体" w:hAnsi="黑体" w:eastAsia="黑体" w:cs="黑体"/>
          <w:color w:val="auto"/>
          <w:sz w:val="32"/>
          <w:szCs w:val="32"/>
          <w:lang w:val="en-US" w:eastAsia="zh-CN"/>
        </w:rPr>
      </w:pPr>
    </w:p>
    <w:p w14:paraId="6353353E">
      <w:pPr>
        <w:pStyle w:val="3"/>
        <w:rPr>
          <w:rFonts w:hint="eastAsia" w:ascii="黑体" w:hAnsi="黑体" w:eastAsia="黑体" w:cs="黑体"/>
          <w:color w:val="auto"/>
          <w:sz w:val="32"/>
          <w:szCs w:val="32"/>
          <w:lang w:val="en-US" w:eastAsia="zh-CN"/>
        </w:rPr>
      </w:pPr>
    </w:p>
    <w:p w14:paraId="0498527E">
      <w:pPr>
        <w:rPr>
          <w:rFonts w:hint="eastAsia" w:ascii="黑体" w:hAnsi="黑体" w:eastAsia="黑体" w:cs="黑体"/>
          <w:color w:val="auto"/>
          <w:sz w:val="32"/>
          <w:szCs w:val="32"/>
          <w:lang w:val="en-US" w:eastAsia="zh-CN"/>
        </w:rPr>
      </w:pPr>
    </w:p>
    <w:p w14:paraId="3C785957">
      <w:pPr>
        <w:pStyle w:val="2"/>
        <w:rPr>
          <w:rFonts w:hint="eastAsia" w:ascii="黑体" w:hAnsi="黑体" w:eastAsia="黑体" w:cs="黑体"/>
          <w:color w:val="auto"/>
          <w:sz w:val="32"/>
          <w:szCs w:val="32"/>
          <w:lang w:val="en-US" w:eastAsia="zh-CN"/>
        </w:rPr>
      </w:pPr>
    </w:p>
    <w:p w14:paraId="47AB6CE9">
      <w:pPr>
        <w:pStyle w:val="3"/>
        <w:rPr>
          <w:rFonts w:hint="eastAsia" w:ascii="黑体" w:hAnsi="黑体" w:eastAsia="黑体" w:cs="黑体"/>
          <w:color w:val="auto"/>
          <w:sz w:val="32"/>
          <w:szCs w:val="32"/>
          <w:lang w:val="en-US" w:eastAsia="zh-CN"/>
        </w:rPr>
      </w:pPr>
    </w:p>
    <w:p w14:paraId="30BCC19D">
      <w:pPr>
        <w:rPr>
          <w:rFonts w:hint="eastAsia" w:ascii="黑体" w:hAnsi="黑体" w:eastAsia="黑体" w:cs="黑体"/>
          <w:color w:val="auto"/>
          <w:sz w:val="32"/>
          <w:szCs w:val="32"/>
          <w:lang w:val="en-US" w:eastAsia="zh-CN"/>
        </w:rPr>
      </w:pPr>
    </w:p>
    <w:p w14:paraId="50FA5665">
      <w:pPr>
        <w:pStyle w:val="2"/>
        <w:rPr>
          <w:rFonts w:hint="eastAsia" w:ascii="黑体" w:hAnsi="黑体" w:eastAsia="黑体" w:cs="黑体"/>
          <w:color w:val="auto"/>
          <w:sz w:val="32"/>
          <w:szCs w:val="32"/>
          <w:lang w:val="en-US" w:eastAsia="zh-CN"/>
        </w:rPr>
      </w:pPr>
    </w:p>
    <w:p w14:paraId="766369C6">
      <w:pPr>
        <w:pStyle w:val="3"/>
        <w:rPr>
          <w:rFonts w:hint="eastAsia" w:ascii="黑体" w:hAnsi="黑体" w:eastAsia="黑体" w:cs="黑体"/>
          <w:color w:val="auto"/>
          <w:sz w:val="32"/>
          <w:szCs w:val="32"/>
          <w:lang w:val="en-US" w:eastAsia="zh-CN"/>
        </w:rPr>
      </w:pPr>
    </w:p>
    <w:p w14:paraId="3A491BFA">
      <w:pPr>
        <w:rPr>
          <w:rFonts w:hint="eastAsia" w:ascii="黑体" w:hAnsi="黑体" w:eastAsia="黑体" w:cs="黑体"/>
          <w:color w:val="auto"/>
          <w:sz w:val="32"/>
          <w:szCs w:val="32"/>
          <w:lang w:val="en-US" w:eastAsia="zh-CN"/>
        </w:rPr>
      </w:pPr>
    </w:p>
    <w:p w14:paraId="3DD3181C">
      <w:pPr>
        <w:pStyle w:val="2"/>
        <w:rPr>
          <w:rFonts w:hint="eastAsia" w:ascii="黑体" w:hAnsi="黑体" w:eastAsia="黑体" w:cs="黑体"/>
          <w:color w:val="auto"/>
          <w:sz w:val="32"/>
          <w:szCs w:val="32"/>
          <w:lang w:val="en-US" w:eastAsia="zh-CN"/>
        </w:rPr>
      </w:pPr>
    </w:p>
    <w:p w14:paraId="6CA445E2">
      <w:pPr>
        <w:pStyle w:val="3"/>
        <w:rPr>
          <w:rFonts w:hint="eastAsia"/>
          <w:lang w:val="en-US" w:eastAsia="zh-CN"/>
        </w:rPr>
      </w:pPr>
    </w:p>
    <w:p w14:paraId="3391D490">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289E9DB6">
      <w:pPr>
        <w:shd w:val="clear"/>
        <w:jc w:val="center"/>
        <w:rPr>
          <w:rFonts w:hint="default"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2023</w:t>
      </w:r>
      <w:r>
        <w:rPr>
          <w:rFonts w:hint="eastAsia" w:asciiTheme="majorEastAsia" w:hAnsiTheme="majorEastAsia" w:eastAsiaTheme="majorEastAsia" w:cstheme="majorEastAsia"/>
          <w:b/>
          <w:bCs/>
          <w:spacing w:val="0"/>
          <w:sz w:val="44"/>
          <w:szCs w:val="44"/>
        </w:rPr>
        <w:t>年度</w:t>
      </w:r>
      <w:r>
        <w:rPr>
          <w:rFonts w:hint="eastAsia" w:asciiTheme="majorEastAsia" w:hAnsiTheme="majorEastAsia" w:eastAsiaTheme="majorEastAsia" w:cstheme="majorEastAsia"/>
          <w:b/>
          <w:bCs/>
          <w:spacing w:val="0"/>
          <w:sz w:val="44"/>
          <w:szCs w:val="44"/>
          <w:lang w:eastAsia="zh-CN"/>
        </w:rPr>
        <w:t>其他运转类等</w:t>
      </w:r>
      <w:r>
        <w:rPr>
          <w:rFonts w:hint="eastAsia" w:asciiTheme="majorEastAsia" w:hAnsiTheme="majorEastAsia" w:eastAsiaTheme="majorEastAsia" w:cstheme="majorEastAsia"/>
          <w:b/>
          <w:bCs/>
          <w:spacing w:val="0"/>
          <w:sz w:val="44"/>
          <w:szCs w:val="44"/>
        </w:rPr>
        <w:t>项目自评表</w:t>
      </w:r>
      <w:r>
        <w:rPr>
          <w:rFonts w:hint="eastAsia" w:asciiTheme="majorEastAsia" w:hAnsiTheme="majorEastAsia" w:eastAsiaTheme="majorEastAsia" w:cstheme="majorEastAsia"/>
          <w:b/>
          <w:bCs/>
          <w:spacing w:val="0"/>
          <w:sz w:val="44"/>
          <w:szCs w:val="44"/>
          <w:lang w:val="en-US" w:eastAsia="zh-CN"/>
        </w:rPr>
        <w:t>4</w:t>
      </w:r>
    </w:p>
    <w:p w14:paraId="0C0D2BC5">
      <w:pPr>
        <w:shd w:val="clear"/>
        <w:rPr>
          <w:rFonts w:cs="Times New Roman"/>
          <w:spacing w:val="-20"/>
        </w:rPr>
      </w:pPr>
    </w:p>
    <w:p w14:paraId="6F8AF60D">
      <w:pPr>
        <w:widowControl/>
        <w:shd w:val="clear"/>
        <w:jc w:val="left"/>
        <w:rPr>
          <w:rFonts w:hint="default" w:ascii="楷体_GB2312" w:hAnsi="黑体" w:eastAsia="楷体_GB2312" w:cs="Times New Roman"/>
          <w:spacing w:val="-11"/>
          <w:kern w:val="0"/>
          <w:sz w:val="48"/>
          <w:szCs w:val="48"/>
          <w:lang w:val="en-US" w:eastAsia="zh-CN"/>
        </w:rPr>
      </w:pPr>
      <w:r>
        <w:rPr>
          <w:rFonts w:hint="eastAsia" w:ascii="楷体_GB2312" w:hAnsi="仿宋" w:eastAsia="楷体_GB2312" w:cs="楷体_GB2312"/>
          <w:spacing w:val="-11"/>
          <w:kern w:val="0"/>
          <w:sz w:val="28"/>
          <w:szCs w:val="28"/>
        </w:rPr>
        <w:t>单位名称：</w:t>
      </w:r>
      <w:r>
        <w:rPr>
          <w:rFonts w:hint="eastAsia" w:ascii="楷体_GB2312" w:hAnsi="仿宋" w:eastAsia="楷体_GB2312" w:cs="楷体_GB2312"/>
          <w:spacing w:val="-11"/>
          <w:kern w:val="0"/>
          <w:sz w:val="28"/>
          <w:szCs w:val="28"/>
          <w:lang w:eastAsia="zh-CN"/>
        </w:rPr>
        <w:t>市自规局鄂城分局</w:t>
      </w:r>
      <w:r>
        <w:rPr>
          <w:rFonts w:ascii="楷体_GB2312" w:hAnsi="仿宋" w:eastAsia="楷体_GB2312" w:cs="楷体_GB2312"/>
          <w:spacing w:val="-11"/>
          <w:kern w:val="0"/>
          <w:sz w:val="28"/>
          <w:szCs w:val="28"/>
        </w:rPr>
        <w:t xml:space="preserve">  </w:t>
      </w:r>
      <w:r>
        <w:rPr>
          <w:rFonts w:hint="eastAsia" w:ascii="楷体_GB2312" w:hAnsi="仿宋" w:eastAsia="楷体_GB2312" w:cs="楷体_GB2312"/>
          <w:spacing w:val="-11"/>
          <w:kern w:val="0"/>
          <w:sz w:val="28"/>
          <w:szCs w:val="28"/>
          <w:lang w:val="en-US" w:eastAsia="zh-CN"/>
        </w:rPr>
        <w:t xml:space="preserve">       </w:t>
      </w:r>
      <w:r>
        <w:rPr>
          <w:rFonts w:hint="eastAsia" w:ascii="楷体_GB2312" w:hAnsi="仿宋" w:eastAsia="楷体_GB2312" w:cs="楷体_GB2312"/>
          <w:spacing w:val="-11"/>
          <w:kern w:val="0"/>
          <w:sz w:val="28"/>
          <w:szCs w:val="28"/>
        </w:rPr>
        <w:t>报日期：</w:t>
      </w:r>
      <w:r>
        <w:rPr>
          <w:rFonts w:hint="eastAsia" w:ascii="楷体_GB2312" w:hAnsi="仿宋" w:eastAsia="楷体_GB2312" w:cs="楷体_GB2312"/>
          <w:spacing w:val="-11"/>
          <w:kern w:val="0"/>
          <w:sz w:val="28"/>
          <w:szCs w:val="28"/>
          <w:lang w:val="en-US" w:eastAsia="zh-CN"/>
        </w:rPr>
        <w:t>2024年3月19日</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358"/>
        <w:gridCol w:w="1624"/>
        <w:gridCol w:w="1074"/>
        <w:gridCol w:w="199"/>
        <w:gridCol w:w="2339"/>
        <w:gridCol w:w="1694"/>
        <w:gridCol w:w="1679"/>
      </w:tblGrid>
      <w:tr w14:paraId="357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Align w:val="center"/>
          </w:tcPr>
          <w:p w14:paraId="4B2E4ACF">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3975" w:type="pct"/>
            <w:gridSpan w:val="6"/>
            <w:vAlign w:val="center"/>
          </w:tcPr>
          <w:p w14:paraId="3AFDC1E7">
            <w:pPr>
              <w:widowControl/>
              <w:shd w:val="clear"/>
              <w:snapToGrid w:val="0"/>
              <w:jc w:val="center"/>
              <w:rPr>
                <w:rFonts w:hint="eastAsia" w:ascii="仿宋_GB2312" w:hAnsi="宋体" w:eastAsia="仿宋_GB2312" w:cs="Times New Roman"/>
                <w:kern w:val="0"/>
                <w:lang w:eastAsia="zh-CN"/>
              </w:rPr>
            </w:pPr>
            <w:r>
              <w:rPr>
                <w:rFonts w:hint="eastAsia" w:ascii="楷体_GB2312" w:hAnsi="仿宋" w:eastAsia="楷体_GB2312" w:cs="楷体_GB2312"/>
                <w:spacing w:val="-11"/>
                <w:kern w:val="0"/>
                <w:sz w:val="28"/>
                <w:szCs w:val="28"/>
                <w:lang w:val="en-US" w:eastAsia="zh-CN"/>
              </w:rPr>
              <w:t>2022年</w:t>
            </w:r>
            <w:r>
              <w:rPr>
                <w:rFonts w:hint="eastAsia" w:ascii="楷体_GB2312" w:hAnsi="仿宋" w:eastAsia="楷体_GB2312" w:cs="楷体_GB2312"/>
                <w:spacing w:val="-11"/>
                <w:kern w:val="0"/>
                <w:sz w:val="28"/>
                <w:szCs w:val="28"/>
                <w:lang w:eastAsia="zh-CN"/>
              </w:rPr>
              <w:t>其他运转类等项目</w:t>
            </w:r>
          </w:p>
        </w:tc>
      </w:tr>
      <w:tr w14:paraId="3DC2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Align w:val="center"/>
          </w:tcPr>
          <w:p w14:paraId="570056D4">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1338" w:type="pct"/>
            <w:gridSpan w:val="3"/>
            <w:vAlign w:val="center"/>
          </w:tcPr>
          <w:p w14:paraId="01E720F4">
            <w:pPr>
              <w:widowControl/>
              <w:shd w:val="clear"/>
              <w:snapToGrid w:val="0"/>
              <w:jc w:val="left"/>
              <w:rPr>
                <w:rFonts w:ascii="仿宋_GB2312" w:hAnsi="宋体" w:eastAsia="仿宋_GB2312" w:cs="Times New Roman"/>
                <w:kern w:val="0"/>
              </w:rPr>
            </w:pPr>
            <w:r>
              <w:rPr>
                <w:rFonts w:hint="eastAsia" w:ascii="仿宋_GB2312" w:hAnsi="宋体" w:eastAsia="仿宋_GB2312" w:cs="仿宋_GB2312"/>
                <w:kern w:val="0"/>
                <w:lang w:eastAsia="zh-CN"/>
              </w:rPr>
              <w:t>市自然资源和规划局</w:t>
            </w:r>
          </w:p>
        </w:tc>
        <w:tc>
          <w:tcPr>
            <w:tcW w:w="1862" w:type="pct"/>
            <w:gridSpan w:val="2"/>
            <w:vAlign w:val="center"/>
          </w:tcPr>
          <w:p w14:paraId="06B51672">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774" w:type="pct"/>
            <w:vAlign w:val="center"/>
          </w:tcPr>
          <w:p w14:paraId="5EB0A1E9">
            <w:pPr>
              <w:widowControl/>
              <w:shd w:val="clear"/>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市自然资源和规划局鄂城分局　</w:t>
            </w:r>
          </w:p>
        </w:tc>
      </w:tr>
      <w:tr w14:paraId="50C8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Align w:val="center"/>
          </w:tcPr>
          <w:p w14:paraId="6CE58DD5">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3975" w:type="pct"/>
            <w:gridSpan w:val="6"/>
            <w:vAlign w:val="center"/>
          </w:tcPr>
          <w:p w14:paraId="09E72ECA">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9C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Align w:val="center"/>
          </w:tcPr>
          <w:p w14:paraId="5A94C874">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3975" w:type="pct"/>
            <w:gridSpan w:val="6"/>
            <w:vAlign w:val="center"/>
          </w:tcPr>
          <w:p w14:paraId="616ECCAC">
            <w:pPr>
              <w:widowControl/>
              <w:shd w:val="clear"/>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5B14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Align w:val="center"/>
          </w:tcPr>
          <w:p w14:paraId="26589C40">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3975" w:type="pct"/>
            <w:gridSpan w:val="6"/>
            <w:vAlign w:val="center"/>
          </w:tcPr>
          <w:p w14:paraId="5EADDDAF">
            <w:pPr>
              <w:widowControl/>
              <w:shd w:val="clear"/>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79D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Merge w:val="restart"/>
            <w:vAlign w:val="center"/>
          </w:tcPr>
          <w:p w14:paraId="67F31404">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750" w:type="pct"/>
            <w:vAlign w:val="center"/>
          </w:tcPr>
          <w:p w14:paraId="5FBDB955">
            <w:pPr>
              <w:widowControl/>
              <w:shd w:val="clear"/>
              <w:snapToGrid w:val="0"/>
              <w:jc w:val="center"/>
              <w:rPr>
                <w:rFonts w:ascii="仿宋_GB2312" w:hAnsi="宋体" w:eastAsia="仿宋_GB2312" w:cs="Times New Roman"/>
                <w:kern w:val="0"/>
              </w:rPr>
            </w:pPr>
          </w:p>
        </w:tc>
        <w:tc>
          <w:tcPr>
            <w:tcW w:w="496" w:type="pct"/>
            <w:vAlign w:val="center"/>
          </w:tcPr>
          <w:p w14:paraId="465C39C4">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171" w:type="pct"/>
            <w:gridSpan w:val="2"/>
            <w:vAlign w:val="center"/>
          </w:tcPr>
          <w:p w14:paraId="6551F0F1">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557" w:type="pct"/>
            <w:gridSpan w:val="2"/>
            <w:vAlign w:val="center"/>
          </w:tcPr>
          <w:p w14:paraId="7F1A4042">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73F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gridSpan w:val="2"/>
            <w:vMerge w:val="continue"/>
            <w:vAlign w:val="center"/>
          </w:tcPr>
          <w:p w14:paraId="7773473D">
            <w:pPr>
              <w:widowControl/>
              <w:shd w:val="clear"/>
              <w:snapToGrid w:val="0"/>
              <w:jc w:val="center"/>
              <w:rPr>
                <w:rFonts w:ascii="仿宋_GB2312" w:hAnsi="宋体" w:eastAsia="仿宋_GB2312" w:cs="Times New Roman"/>
                <w:kern w:val="0"/>
              </w:rPr>
            </w:pPr>
          </w:p>
        </w:tc>
        <w:tc>
          <w:tcPr>
            <w:tcW w:w="750" w:type="pct"/>
            <w:vAlign w:val="center"/>
          </w:tcPr>
          <w:p w14:paraId="01E76D50">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496" w:type="pct"/>
            <w:shd w:val="clear" w:color="auto" w:fill="auto"/>
            <w:vAlign w:val="center"/>
          </w:tcPr>
          <w:p w14:paraId="79D5FF5A">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333.69</w:t>
            </w:r>
          </w:p>
        </w:tc>
        <w:tc>
          <w:tcPr>
            <w:tcW w:w="1171" w:type="pct"/>
            <w:gridSpan w:val="2"/>
            <w:shd w:val="clear" w:color="auto" w:fill="auto"/>
            <w:vAlign w:val="center"/>
          </w:tcPr>
          <w:p w14:paraId="0AB34F27">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333.69</w:t>
            </w:r>
          </w:p>
        </w:tc>
        <w:tc>
          <w:tcPr>
            <w:tcW w:w="1557" w:type="pct"/>
            <w:gridSpan w:val="2"/>
            <w:shd w:val="clear" w:color="auto" w:fill="auto"/>
            <w:vAlign w:val="center"/>
          </w:tcPr>
          <w:p w14:paraId="0F41D9E2">
            <w:pPr>
              <w:widowControl/>
              <w:shd w:val="clear"/>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100%</w:t>
            </w:r>
          </w:p>
        </w:tc>
      </w:tr>
      <w:tr w14:paraId="76A1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Merge w:val="restart"/>
            <w:vAlign w:val="center"/>
          </w:tcPr>
          <w:p w14:paraId="471BA433">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04CCAFF4">
            <w:pPr>
              <w:widowControl/>
              <w:shd w:val="clear"/>
              <w:snapToGrid w:val="0"/>
              <w:jc w:val="center"/>
              <w:rPr>
                <w:rFonts w:ascii="仿宋_GB2312" w:hAnsi="宋体" w:eastAsia="仿宋_GB2312" w:cs="Times New Roman"/>
                <w:kern w:val="0"/>
              </w:rPr>
            </w:pPr>
          </w:p>
        </w:tc>
        <w:tc>
          <w:tcPr>
            <w:tcW w:w="626" w:type="pct"/>
            <w:vAlign w:val="center"/>
          </w:tcPr>
          <w:p w14:paraId="081BB2BC">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750" w:type="pct"/>
            <w:vAlign w:val="center"/>
          </w:tcPr>
          <w:p w14:paraId="3136E8D1">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668" w:type="pct"/>
            <w:gridSpan w:val="3"/>
            <w:vAlign w:val="center"/>
          </w:tcPr>
          <w:p w14:paraId="562B115F">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782" w:type="pct"/>
            <w:vAlign w:val="center"/>
          </w:tcPr>
          <w:p w14:paraId="0683D387">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774" w:type="pct"/>
            <w:vAlign w:val="center"/>
          </w:tcPr>
          <w:p w14:paraId="405CF32D">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5FB0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7" w:type="pct"/>
            <w:vMerge w:val="continue"/>
            <w:vAlign w:val="center"/>
          </w:tcPr>
          <w:p w14:paraId="329BAFDD">
            <w:pPr>
              <w:shd w:val="clear"/>
              <w:snapToGrid w:val="0"/>
              <w:jc w:val="center"/>
              <w:rPr>
                <w:rFonts w:ascii="仿宋_GB2312" w:hAnsi="宋体" w:eastAsia="仿宋_GB2312" w:cs="Times New Roman"/>
                <w:kern w:val="0"/>
              </w:rPr>
            </w:pPr>
          </w:p>
        </w:tc>
        <w:tc>
          <w:tcPr>
            <w:tcW w:w="626" w:type="pct"/>
            <w:vMerge w:val="restart"/>
            <w:tcBorders>
              <w:bottom w:val="nil"/>
            </w:tcBorders>
            <w:vAlign w:val="center"/>
          </w:tcPr>
          <w:p w14:paraId="181B1483">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750" w:type="pct"/>
            <w:vMerge w:val="restart"/>
            <w:vAlign w:val="center"/>
          </w:tcPr>
          <w:p w14:paraId="5D7FC20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数量指标</w:t>
            </w:r>
          </w:p>
          <w:p w14:paraId="34B1E02F">
            <w:pPr>
              <w:widowControl/>
              <w:shd w:val="clear"/>
              <w:snapToGrid w:val="0"/>
              <w:jc w:val="center"/>
              <w:rPr>
                <w:rFonts w:ascii="仿宋_GB2312" w:hAnsi="宋体" w:eastAsia="仿宋_GB2312" w:cs="Times New Roman"/>
                <w:kern w:val="0"/>
              </w:rPr>
            </w:pPr>
          </w:p>
        </w:tc>
        <w:tc>
          <w:tcPr>
            <w:tcW w:w="1668" w:type="pct"/>
            <w:gridSpan w:val="3"/>
            <w:vAlign w:val="center"/>
          </w:tcPr>
          <w:p w14:paraId="65A50FA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地质灾害培训和应急演练</w:t>
            </w:r>
          </w:p>
        </w:tc>
        <w:tc>
          <w:tcPr>
            <w:tcW w:w="782" w:type="pct"/>
            <w:vAlign w:val="center"/>
          </w:tcPr>
          <w:p w14:paraId="0C96008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eastAsia"/>
              </w:rPr>
              <w:t>≥300人次</w:t>
            </w:r>
          </w:p>
        </w:tc>
        <w:tc>
          <w:tcPr>
            <w:tcW w:w="774" w:type="pct"/>
            <w:vAlign w:val="center"/>
          </w:tcPr>
          <w:p w14:paraId="6E85E29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350人次</w:t>
            </w:r>
          </w:p>
        </w:tc>
      </w:tr>
      <w:tr w14:paraId="773F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7" w:type="pct"/>
            <w:vMerge w:val="continue"/>
            <w:vAlign w:val="center"/>
          </w:tcPr>
          <w:p w14:paraId="31D7D644">
            <w:pPr>
              <w:shd w:val="clear"/>
              <w:snapToGrid w:val="0"/>
              <w:jc w:val="center"/>
              <w:rPr>
                <w:rFonts w:ascii="仿宋_GB2312" w:hAnsi="宋体" w:eastAsia="仿宋_GB2312" w:cs="Times New Roman"/>
                <w:kern w:val="0"/>
              </w:rPr>
            </w:pPr>
          </w:p>
        </w:tc>
        <w:tc>
          <w:tcPr>
            <w:tcW w:w="626" w:type="pct"/>
            <w:vMerge w:val="continue"/>
            <w:tcBorders>
              <w:bottom w:val="nil"/>
            </w:tcBorders>
            <w:vAlign w:val="center"/>
          </w:tcPr>
          <w:p w14:paraId="22EB475B">
            <w:pPr>
              <w:widowControl/>
              <w:shd w:val="clear"/>
              <w:snapToGrid w:val="0"/>
              <w:jc w:val="center"/>
              <w:rPr>
                <w:rFonts w:ascii="仿宋_GB2312" w:hAnsi="宋体" w:eastAsia="仿宋_GB2312" w:cs="Times New Roman"/>
                <w:kern w:val="0"/>
              </w:rPr>
            </w:pPr>
          </w:p>
        </w:tc>
        <w:tc>
          <w:tcPr>
            <w:tcW w:w="750" w:type="pct"/>
            <w:vMerge w:val="continue"/>
            <w:vAlign w:val="center"/>
          </w:tcPr>
          <w:p w14:paraId="445016B8">
            <w:pPr>
              <w:widowControl/>
              <w:shd w:val="clear"/>
              <w:snapToGrid w:val="0"/>
              <w:jc w:val="center"/>
              <w:rPr>
                <w:rFonts w:ascii="仿宋_GB2312" w:hAnsi="宋体" w:eastAsia="仿宋_GB2312" w:cs="Times New Roman"/>
                <w:kern w:val="0"/>
              </w:rPr>
            </w:pPr>
          </w:p>
        </w:tc>
        <w:tc>
          <w:tcPr>
            <w:tcW w:w="1668" w:type="pct"/>
            <w:gridSpan w:val="3"/>
            <w:vAlign w:val="center"/>
          </w:tcPr>
          <w:p w14:paraId="70636AF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年度变更调查土地面积</w:t>
            </w:r>
          </w:p>
        </w:tc>
        <w:tc>
          <w:tcPr>
            <w:tcW w:w="782" w:type="pct"/>
            <w:vAlign w:val="center"/>
          </w:tcPr>
          <w:p w14:paraId="7927818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447平方公里</w:t>
            </w:r>
          </w:p>
        </w:tc>
        <w:tc>
          <w:tcPr>
            <w:tcW w:w="774" w:type="pct"/>
            <w:vAlign w:val="center"/>
          </w:tcPr>
          <w:p w14:paraId="71BCB49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447平方公里</w:t>
            </w:r>
          </w:p>
        </w:tc>
      </w:tr>
      <w:tr w14:paraId="5A13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7" w:type="pct"/>
            <w:vMerge w:val="continue"/>
            <w:vAlign w:val="center"/>
          </w:tcPr>
          <w:p w14:paraId="2D8A9816">
            <w:pPr>
              <w:shd w:val="clear"/>
              <w:snapToGrid w:val="0"/>
              <w:jc w:val="center"/>
              <w:rPr>
                <w:rFonts w:ascii="仿宋_GB2312" w:hAnsi="宋体" w:eastAsia="仿宋_GB2312" w:cs="Times New Roman"/>
                <w:kern w:val="0"/>
              </w:rPr>
            </w:pPr>
          </w:p>
        </w:tc>
        <w:tc>
          <w:tcPr>
            <w:tcW w:w="626" w:type="pct"/>
            <w:vMerge w:val="continue"/>
            <w:tcBorders>
              <w:bottom w:val="nil"/>
            </w:tcBorders>
            <w:vAlign w:val="center"/>
          </w:tcPr>
          <w:p w14:paraId="5A092996">
            <w:pPr>
              <w:widowControl/>
              <w:shd w:val="clear"/>
              <w:snapToGrid w:val="0"/>
              <w:jc w:val="center"/>
              <w:rPr>
                <w:rFonts w:ascii="仿宋_GB2312" w:hAnsi="宋体" w:eastAsia="仿宋_GB2312" w:cs="Times New Roman"/>
                <w:kern w:val="0"/>
              </w:rPr>
            </w:pPr>
          </w:p>
        </w:tc>
        <w:tc>
          <w:tcPr>
            <w:tcW w:w="750" w:type="pct"/>
            <w:vMerge w:val="continue"/>
            <w:vAlign w:val="center"/>
          </w:tcPr>
          <w:p w14:paraId="4BA18A3B">
            <w:pPr>
              <w:widowControl/>
              <w:shd w:val="clear"/>
              <w:snapToGrid w:val="0"/>
              <w:jc w:val="center"/>
              <w:rPr>
                <w:rFonts w:ascii="仿宋_GB2312" w:hAnsi="宋体" w:eastAsia="仿宋_GB2312" w:cs="Times New Roman"/>
                <w:kern w:val="0"/>
              </w:rPr>
            </w:pPr>
          </w:p>
        </w:tc>
        <w:tc>
          <w:tcPr>
            <w:tcW w:w="1668" w:type="pct"/>
            <w:gridSpan w:val="3"/>
            <w:vAlign w:val="center"/>
          </w:tcPr>
          <w:p w14:paraId="658C3CC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森林覆盖率</w:t>
            </w:r>
          </w:p>
        </w:tc>
        <w:tc>
          <w:tcPr>
            <w:tcW w:w="782" w:type="pct"/>
            <w:vAlign w:val="center"/>
          </w:tcPr>
          <w:p w14:paraId="46EDD2C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大于等于11.36%</w:t>
            </w:r>
          </w:p>
        </w:tc>
        <w:tc>
          <w:tcPr>
            <w:tcW w:w="774" w:type="pct"/>
            <w:vAlign w:val="center"/>
          </w:tcPr>
          <w:p w14:paraId="32F70A2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大于等于11.36%</w:t>
            </w:r>
          </w:p>
        </w:tc>
      </w:tr>
      <w:tr w14:paraId="70D1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7" w:type="pct"/>
            <w:vMerge w:val="continue"/>
            <w:vAlign w:val="center"/>
          </w:tcPr>
          <w:p w14:paraId="2805BD5A">
            <w:pPr>
              <w:shd w:val="clear"/>
              <w:snapToGrid w:val="0"/>
              <w:jc w:val="center"/>
              <w:rPr>
                <w:rFonts w:ascii="仿宋_GB2312" w:hAnsi="宋体" w:eastAsia="仿宋_GB2312" w:cs="Times New Roman"/>
                <w:kern w:val="0"/>
              </w:rPr>
            </w:pPr>
          </w:p>
        </w:tc>
        <w:tc>
          <w:tcPr>
            <w:tcW w:w="626" w:type="pct"/>
            <w:vMerge w:val="continue"/>
            <w:tcBorders>
              <w:bottom w:val="nil"/>
            </w:tcBorders>
            <w:vAlign w:val="center"/>
          </w:tcPr>
          <w:p w14:paraId="5659E210">
            <w:pPr>
              <w:widowControl/>
              <w:shd w:val="clear"/>
              <w:snapToGrid w:val="0"/>
              <w:jc w:val="center"/>
              <w:rPr>
                <w:rFonts w:ascii="仿宋_GB2312" w:hAnsi="宋体" w:eastAsia="仿宋_GB2312" w:cs="Times New Roman"/>
                <w:kern w:val="0"/>
              </w:rPr>
            </w:pPr>
          </w:p>
        </w:tc>
        <w:tc>
          <w:tcPr>
            <w:tcW w:w="750" w:type="pct"/>
            <w:vMerge w:val="continue"/>
            <w:vAlign w:val="center"/>
          </w:tcPr>
          <w:p w14:paraId="5ED2C8B7">
            <w:pPr>
              <w:widowControl/>
              <w:shd w:val="clear"/>
              <w:snapToGrid w:val="0"/>
              <w:jc w:val="center"/>
              <w:rPr>
                <w:rFonts w:hint="eastAsia" w:ascii="仿宋_GB2312" w:hAnsi="宋体" w:eastAsia="仿宋_GB2312" w:cs="仿宋_GB2312"/>
                <w:kern w:val="0"/>
              </w:rPr>
            </w:pPr>
          </w:p>
        </w:tc>
        <w:tc>
          <w:tcPr>
            <w:tcW w:w="1668" w:type="pct"/>
            <w:gridSpan w:val="3"/>
            <w:vAlign w:val="center"/>
          </w:tcPr>
          <w:p w14:paraId="24925BC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永久基本农田保护率</w:t>
            </w:r>
          </w:p>
        </w:tc>
        <w:tc>
          <w:tcPr>
            <w:tcW w:w="782" w:type="pct"/>
            <w:vAlign w:val="center"/>
          </w:tcPr>
          <w:p w14:paraId="2C79325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大于等于80%</w:t>
            </w:r>
          </w:p>
        </w:tc>
        <w:tc>
          <w:tcPr>
            <w:tcW w:w="774" w:type="pct"/>
            <w:vAlign w:val="center"/>
          </w:tcPr>
          <w:p w14:paraId="60AF5AF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大于等于80%</w:t>
            </w:r>
          </w:p>
        </w:tc>
      </w:tr>
      <w:tr w14:paraId="0AD2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Merge w:val="continue"/>
            <w:vAlign w:val="center"/>
          </w:tcPr>
          <w:p w14:paraId="4661064D">
            <w:pPr>
              <w:shd w:val="clear"/>
              <w:snapToGrid w:val="0"/>
              <w:jc w:val="center"/>
              <w:rPr>
                <w:rFonts w:ascii="仿宋_GB2312" w:hAnsi="宋体" w:eastAsia="仿宋_GB2312" w:cs="Times New Roman"/>
                <w:kern w:val="0"/>
              </w:rPr>
            </w:pPr>
          </w:p>
        </w:tc>
        <w:tc>
          <w:tcPr>
            <w:tcW w:w="626" w:type="pct"/>
            <w:vMerge w:val="continue"/>
            <w:tcBorders>
              <w:bottom w:val="nil"/>
            </w:tcBorders>
            <w:vAlign w:val="center"/>
          </w:tcPr>
          <w:p w14:paraId="54072DE7">
            <w:pPr>
              <w:widowControl/>
              <w:shd w:val="clear"/>
              <w:snapToGrid w:val="0"/>
              <w:jc w:val="center"/>
              <w:rPr>
                <w:rFonts w:ascii="仿宋_GB2312" w:hAnsi="宋体" w:eastAsia="仿宋_GB2312" w:cs="Times New Roman"/>
                <w:kern w:val="0"/>
              </w:rPr>
            </w:pPr>
          </w:p>
        </w:tc>
        <w:tc>
          <w:tcPr>
            <w:tcW w:w="750" w:type="pct"/>
            <w:vMerge w:val="continue"/>
            <w:vAlign w:val="center"/>
          </w:tcPr>
          <w:p w14:paraId="4D740065">
            <w:pPr>
              <w:widowControl/>
              <w:shd w:val="clear"/>
              <w:snapToGrid w:val="0"/>
              <w:jc w:val="center"/>
              <w:rPr>
                <w:rFonts w:hint="eastAsia" w:ascii="仿宋_GB2312" w:hAnsi="宋体" w:eastAsia="仿宋_GB2312" w:cs="仿宋_GB2312"/>
                <w:kern w:val="0"/>
              </w:rPr>
            </w:pPr>
          </w:p>
        </w:tc>
        <w:tc>
          <w:tcPr>
            <w:tcW w:w="1668" w:type="pct"/>
            <w:gridSpan w:val="3"/>
            <w:vAlign w:val="center"/>
          </w:tcPr>
          <w:p w14:paraId="364688C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 xml:space="preserve">永久基本农田中不符合要求地类数量减少比例  </w:t>
            </w:r>
          </w:p>
        </w:tc>
        <w:tc>
          <w:tcPr>
            <w:tcW w:w="782" w:type="pct"/>
            <w:vAlign w:val="center"/>
          </w:tcPr>
          <w:p w14:paraId="1A1A0BB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大于等于5%</w:t>
            </w:r>
          </w:p>
        </w:tc>
        <w:tc>
          <w:tcPr>
            <w:tcW w:w="774" w:type="pct"/>
            <w:vAlign w:val="center"/>
          </w:tcPr>
          <w:p w14:paraId="0238199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大于等于5%</w:t>
            </w:r>
          </w:p>
        </w:tc>
      </w:tr>
      <w:tr w14:paraId="7956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7" w:type="pct"/>
            <w:vMerge w:val="continue"/>
            <w:vAlign w:val="center"/>
          </w:tcPr>
          <w:p w14:paraId="33242913">
            <w:pPr>
              <w:shd w:val="clear"/>
              <w:snapToGrid w:val="0"/>
              <w:jc w:val="center"/>
              <w:rPr>
                <w:rFonts w:ascii="仿宋_GB2312" w:hAnsi="宋体" w:eastAsia="仿宋_GB2312" w:cs="Times New Roman"/>
                <w:kern w:val="0"/>
              </w:rPr>
            </w:pPr>
          </w:p>
        </w:tc>
        <w:tc>
          <w:tcPr>
            <w:tcW w:w="626" w:type="pct"/>
            <w:vMerge w:val="continue"/>
            <w:tcBorders>
              <w:bottom w:val="nil"/>
            </w:tcBorders>
            <w:vAlign w:val="center"/>
          </w:tcPr>
          <w:p w14:paraId="3D54B483">
            <w:pPr>
              <w:widowControl/>
              <w:shd w:val="clear"/>
              <w:snapToGrid w:val="0"/>
              <w:jc w:val="center"/>
              <w:rPr>
                <w:rFonts w:ascii="仿宋_GB2312" w:hAnsi="宋体" w:eastAsia="仿宋_GB2312" w:cs="Times New Roman"/>
                <w:kern w:val="0"/>
              </w:rPr>
            </w:pPr>
          </w:p>
        </w:tc>
        <w:tc>
          <w:tcPr>
            <w:tcW w:w="750" w:type="pct"/>
            <w:vMerge w:val="restart"/>
            <w:tcBorders>
              <w:bottom w:val="nil"/>
            </w:tcBorders>
            <w:vAlign w:val="center"/>
          </w:tcPr>
          <w:p w14:paraId="77C00B78">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质量指标</w:t>
            </w:r>
          </w:p>
        </w:tc>
        <w:tc>
          <w:tcPr>
            <w:tcW w:w="1668" w:type="pct"/>
            <w:gridSpan w:val="3"/>
            <w:vAlign w:val="center"/>
          </w:tcPr>
          <w:p w14:paraId="3C7E930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挂牌一次成交率</w:t>
            </w:r>
          </w:p>
        </w:tc>
        <w:tc>
          <w:tcPr>
            <w:tcW w:w="782" w:type="pct"/>
            <w:vAlign w:val="center"/>
          </w:tcPr>
          <w:p w14:paraId="6382170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100.00%</w:t>
            </w:r>
          </w:p>
        </w:tc>
        <w:tc>
          <w:tcPr>
            <w:tcW w:w="774" w:type="pct"/>
            <w:vAlign w:val="center"/>
          </w:tcPr>
          <w:p w14:paraId="27932DB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100.00%</w:t>
            </w:r>
          </w:p>
        </w:tc>
      </w:tr>
      <w:tr w14:paraId="651C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397" w:type="pct"/>
            <w:vMerge w:val="continue"/>
            <w:vAlign w:val="center"/>
          </w:tcPr>
          <w:p w14:paraId="22F43094">
            <w:pPr>
              <w:shd w:val="clear"/>
              <w:snapToGrid w:val="0"/>
              <w:jc w:val="center"/>
              <w:rPr>
                <w:rFonts w:ascii="仿宋_GB2312" w:hAnsi="宋体" w:eastAsia="仿宋_GB2312" w:cs="Times New Roman"/>
                <w:kern w:val="0"/>
              </w:rPr>
            </w:pPr>
          </w:p>
        </w:tc>
        <w:tc>
          <w:tcPr>
            <w:tcW w:w="626" w:type="pct"/>
            <w:vMerge w:val="continue"/>
            <w:tcBorders>
              <w:bottom w:val="nil"/>
            </w:tcBorders>
            <w:vAlign w:val="center"/>
          </w:tcPr>
          <w:p w14:paraId="47D700CA">
            <w:pPr>
              <w:widowControl/>
              <w:shd w:val="clear"/>
              <w:snapToGrid w:val="0"/>
              <w:jc w:val="center"/>
              <w:rPr>
                <w:rFonts w:ascii="仿宋_GB2312" w:hAnsi="宋体" w:eastAsia="仿宋_GB2312" w:cs="Times New Roman"/>
                <w:kern w:val="0"/>
              </w:rPr>
            </w:pPr>
          </w:p>
        </w:tc>
        <w:tc>
          <w:tcPr>
            <w:tcW w:w="750" w:type="pct"/>
            <w:vMerge w:val="continue"/>
            <w:tcBorders>
              <w:bottom w:val="nil"/>
            </w:tcBorders>
            <w:vAlign w:val="center"/>
          </w:tcPr>
          <w:p w14:paraId="3EE16866">
            <w:pPr>
              <w:widowControl/>
              <w:shd w:val="clear"/>
              <w:snapToGrid w:val="0"/>
              <w:jc w:val="center"/>
              <w:rPr>
                <w:rFonts w:hint="eastAsia" w:ascii="仿宋_GB2312" w:hAnsi="宋体" w:eastAsia="仿宋_GB2312" w:cs="仿宋_GB2312"/>
                <w:kern w:val="0"/>
              </w:rPr>
            </w:pPr>
          </w:p>
        </w:tc>
        <w:tc>
          <w:tcPr>
            <w:tcW w:w="1668" w:type="pct"/>
            <w:gridSpan w:val="3"/>
            <w:vAlign w:val="center"/>
          </w:tcPr>
          <w:p w14:paraId="758BB2F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耕地后备资源中不符合要求地类数量减少比例</w:t>
            </w:r>
          </w:p>
        </w:tc>
        <w:tc>
          <w:tcPr>
            <w:tcW w:w="782" w:type="pct"/>
            <w:vAlign w:val="center"/>
          </w:tcPr>
          <w:p w14:paraId="303D9F0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≤30%</w:t>
            </w:r>
          </w:p>
        </w:tc>
        <w:tc>
          <w:tcPr>
            <w:tcW w:w="774" w:type="pct"/>
            <w:vAlign w:val="center"/>
          </w:tcPr>
          <w:p w14:paraId="2F7255C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≤30%</w:t>
            </w:r>
          </w:p>
        </w:tc>
      </w:tr>
      <w:tr w14:paraId="7E73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397" w:type="pct"/>
            <w:vMerge w:val="continue"/>
            <w:vAlign w:val="center"/>
          </w:tcPr>
          <w:p w14:paraId="1931CFF8">
            <w:pPr>
              <w:shd w:val="clear"/>
              <w:snapToGrid w:val="0"/>
              <w:jc w:val="center"/>
              <w:rPr>
                <w:rFonts w:ascii="仿宋_GB2312" w:hAnsi="宋体" w:eastAsia="仿宋_GB2312" w:cs="Times New Roman"/>
                <w:kern w:val="0"/>
              </w:rPr>
            </w:pPr>
          </w:p>
        </w:tc>
        <w:tc>
          <w:tcPr>
            <w:tcW w:w="626" w:type="pct"/>
            <w:vMerge w:val="continue"/>
            <w:vAlign w:val="center"/>
          </w:tcPr>
          <w:p w14:paraId="2ED9DBF0">
            <w:pPr>
              <w:widowControl/>
              <w:shd w:val="clear"/>
              <w:snapToGrid w:val="0"/>
              <w:jc w:val="center"/>
              <w:rPr>
                <w:rFonts w:ascii="仿宋_GB2312" w:hAnsi="宋体" w:eastAsia="仿宋_GB2312" w:cs="Times New Roman"/>
                <w:kern w:val="0"/>
              </w:rPr>
            </w:pPr>
          </w:p>
        </w:tc>
        <w:tc>
          <w:tcPr>
            <w:tcW w:w="750" w:type="pct"/>
            <w:vAlign w:val="center"/>
          </w:tcPr>
          <w:p w14:paraId="47841E84">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时效指标</w:t>
            </w:r>
          </w:p>
        </w:tc>
        <w:tc>
          <w:tcPr>
            <w:tcW w:w="1668" w:type="pct"/>
            <w:gridSpan w:val="3"/>
            <w:vAlign w:val="center"/>
          </w:tcPr>
          <w:p w14:paraId="263DE9F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782" w:type="pct"/>
            <w:vAlign w:val="center"/>
          </w:tcPr>
          <w:p w14:paraId="1001044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774" w:type="pct"/>
            <w:vAlign w:val="center"/>
          </w:tcPr>
          <w:p w14:paraId="213E546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7AFA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397" w:type="pct"/>
            <w:vMerge w:val="continue"/>
            <w:vAlign w:val="center"/>
          </w:tcPr>
          <w:p w14:paraId="5F86DE5A">
            <w:pPr>
              <w:shd w:val="clear"/>
              <w:snapToGrid w:val="0"/>
              <w:jc w:val="center"/>
              <w:rPr>
                <w:rFonts w:ascii="仿宋_GB2312" w:hAnsi="宋体" w:eastAsia="仿宋_GB2312" w:cs="Times New Roman"/>
                <w:kern w:val="0"/>
              </w:rPr>
            </w:pPr>
          </w:p>
        </w:tc>
        <w:tc>
          <w:tcPr>
            <w:tcW w:w="626" w:type="pct"/>
            <w:vMerge w:val="continue"/>
            <w:vAlign w:val="center"/>
          </w:tcPr>
          <w:p w14:paraId="5C7EC80D">
            <w:pPr>
              <w:widowControl/>
              <w:shd w:val="clear"/>
              <w:snapToGrid w:val="0"/>
              <w:jc w:val="center"/>
              <w:rPr>
                <w:rFonts w:ascii="仿宋_GB2312" w:hAnsi="宋体" w:eastAsia="仿宋_GB2312" w:cs="Times New Roman"/>
                <w:kern w:val="0"/>
              </w:rPr>
            </w:pPr>
          </w:p>
        </w:tc>
        <w:tc>
          <w:tcPr>
            <w:tcW w:w="750" w:type="pct"/>
            <w:vAlign w:val="center"/>
          </w:tcPr>
          <w:p w14:paraId="2D341EE1">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成本指标</w:t>
            </w:r>
          </w:p>
        </w:tc>
        <w:tc>
          <w:tcPr>
            <w:tcW w:w="1668" w:type="pct"/>
            <w:gridSpan w:val="3"/>
            <w:vAlign w:val="center"/>
          </w:tcPr>
          <w:p w14:paraId="5BD0E66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782" w:type="pct"/>
            <w:vAlign w:val="center"/>
          </w:tcPr>
          <w:p w14:paraId="1DB95A1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774" w:type="pct"/>
            <w:vAlign w:val="center"/>
          </w:tcPr>
          <w:p w14:paraId="478F032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50B1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397" w:type="pct"/>
            <w:vMerge w:val="continue"/>
            <w:vAlign w:val="center"/>
          </w:tcPr>
          <w:p w14:paraId="01501D7B">
            <w:pPr>
              <w:shd w:val="clear"/>
              <w:snapToGrid w:val="0"/>
              <w:jc w:val="center"/>
              <w:rPr>
                <w:rFonts w:ascii="仿宋_GB2312" w:hAnsi="宋体" w:eastAsia="仿宋_GB2312" w:cs="Times New Roman"/>
                <w:kern w:val="0"/>
              </w:rPr>
            </w:pPr>
          </w:p>
        </w:tc>
        <w:tc>
          <w:tcPr>
            <w:tcW w:w="626" w:type="pct"/>
            <w:vMerge w:val="restart"/>
            <w:vAlign w:val="center"/>
          </w:tcPr>
          <w:p w14:paraId="7142C3A1">
            <w:pPr>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750" w:type="pct"/>
            <w:vAlign w:val="center"/>
          </w:tcPr>
          <w:p w14:paraId="5B2BD2D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经济效益</w:t>
            </w:r>
          </w:p>
          <w:p w14:paraId="1727A45A">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指标</w:t>
            </w:r>
          </w:p>
        </w:tc>
        <w:tc>
          <w:tcPr>
            <w:tcW w:w="1668" w:type="pct"/>
            <w:gridSpan w:val="3"/>
            <w:vAlign w:val="center"/>
          </w:tcPr>
          <w:p w14:paraId="0C749A9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782" w:type="pct"/>
            <w:vAlign w:val="center"/>
          </w:tcPr>
          <w:p w14:paraId="2B045B5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774" w:type="pct"/>
            <w:vAlign w:val="center"/>
          </w:tcPr>
          <w:p w14:paraId="67D591E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r>
      <w:tr w14:paraId="35C1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397" w:type="pct"/>
            <w:vMerge w:val="continue"/>
            <w:vAlign w:val="center"/>
          </w:tcPr>
          <w:p w14:paraId="6A9CA247">
            <w:pPr>
              <w:shd w:val="clear"/>
              <w:snapToGrid w:val="0"/>
              <w:jc w:val="center"/>
              <w:rPr>
                <w:rFonts w:ascii="仿宋_GB2312" w:hAnsi="宋体" w:eastAsia="仿宋_GB2312" w:cs="Times New Roman"/>
                <w:kern w:val="0"/>
              </w:rPr>
            </w:pPr>
          </w:p>
        </w:tc>
        <w:tc>
          <w:tcPr>
            <w:tcW w:w="626" w:type="pct"/>
            <w:vMerge w:val="continue"/>
            <w:vAlign w:val="center"/>
          </w:tcPr>
          <w:p w14:paraId="0D36B963">
            <w:pPr>
              <w:widowControl/>
              <w:shd w:val="clear"/>
              <w:snapToGrid w:val="0"/>
              <w:jc w:val="center"/>
              <w:rPr>
                <w:rFonts w:ascii="仿宋_GB2312" w:hAnsi="宋体" w:eastAsia="仿宋_GB2312" w:cs="Times New Roman"/>
                <w:kern w:val="0"/>
              </w:rPr>
            </w:pPr>
          </w:p>
        </w:tc>
        <w:tc>
          <w:tcPr>
            <w:tcW w:w="750" w:type="pct"/>
            <w:vAlign w:val="center"/>
          </w:tcPr>
          <w:p w14:paraId="2CEDE57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社会效益</w:t>
            </w:r>
          </w:p>
          <w:p w14:paraId="2EF56EE3">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指标</w:t>
            </w:r>
          </w:p>
        </w:tc>
        <w:tc>
          <w:tcPr>
            <w:tcW w:w="1668" w:type="pct"/>
            <w:gridSpan w:val="3"/>
            <w:vAlign w:val="center"/>
          </w:tcPr>
          <w:p w14:paraId="77ABFE8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782" w:type="pct"/>
            <w:vAlign w:val="center"/>
          </w:tcPr>
          <w:p w14:paraId="65AE185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774" w:type="pct"/>
            <w:vAlign w:val="center"/>
          </w:tcPr>
          <w:p w14:paraId="080F955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r>
      <w:tr w14:paraId="4D8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7" w:type="pct"/>
            <w:vMerge w:val="continue"/>
            <w:vAlign w:val="center"/>
          </w:tcPr>
          <w:p w14:paraId="47E9D58F">
            <w:pPr>
              <w:shd w:val="clear"/>
              <w:snapToGrid w:val="0"/>
              <w:jc w:val="center"/>
              <w:rPr>
                <w:rFonts w:ascii="仿宋_GB2312" w:hAnsi="宋体" w:eastAsia="仿宋_GB2312" w:cs="Times New Roman"/>
                <w:kern w:val="0"/>
              </w:rPr>
            </w:pPr>
          </w:p>
        </w:tc>
        <w:tc>
          <w:tcPr>
            <w:tcW w:w="626" w:type="pct"/>
            <w:vMerge w:val="continue"/>
            <w:vAlign w:val="center"/>
          </w:tcPr>
          <w:p w14:paraId="3ACEF5DE">
            <w:pPr>
              <w:widowControl/>
              <w:shd w:val="clear"/>
              <w:snapToGrid w:val="0"/>
              <w:jc w:val="center"/>
              <w:rPr>
                <w:rFonts w:ascii="仿宋_GB2312" w:hAnsi="宋体" w:eastAsia="仿宋_GB2312" w:cs="Times New Roman"/>
                <w:kern w:val="0"/>
              </w:rPr>
            </w:pPr>
          </w:p>
        </w:tc>
        <w:tc>
          <w:tcPr>
            <w:tcW w:w="750" w:type="pct"/>
            <w:vAlign w:val="center"/>
          </w:tcPr>
          <w:p w14:paraId="0519FFD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生态效益</w:t>
            </w:r>
          </w:p>
          <w:p w14:paraId="49AA708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指标</w:t>
            </w:r>
          </w:p>
          <w:p w14:paraId="69A1784C">
            <w:pPr>
              <w:widowControl/>
              <w:shd w:val="clear"/>
              <w:snapToGrid w:val="0"/>
              <w:jc w:val="center"/>
              <w:rPr>
                <w:rFonts w:ascii="仿宋_GB2312" w:hAnsi="宋体" w:eastAsia="仿宋_GB2312" w:cs="Times New Roman"/>
                <w:kern w:val="0"/>
              </w:rPr>
            </w:pPr>
          </w:p>
        </w:tc>
        <w:tc>
          <w:tcPr>
            <w:tcW w:w="1668" w:type="pct"/>
            <w:gridSpan w:val="3"/>
            <w:vAlign w:val="center"/>
          </w:tcPr>
          <w:p w14:paraId="426DBF50">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782" w:type="pct"/>
            <w:vAlign w:val="center"/>
          </w:tcPr>
          <w:p w14:paraId="4BD5C73E">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774" w:type="pct"/>
            <w:vAlign w:val="center"/>
          </w:tcPr>
          <w:p w14:paraId="6E813A5D">
            <w:pPr>
              <w:keepNext w:val="0"/>
              <w:keepLines w:val="0"/>
              <w:widowControl/>
              <w:suppressLineNumbers w:val="0"/>
              <w:shd w:val="clear"/>
              <w:jc w:val="left"/>
              <w:textAlignment w:val="center"/>
              <w:rPr>
                <w:rFonts w:hint="default" w:ascii="仿宋_GB2312" w:hAnsi="宋体" w:eastAsia="仿宋_GB2312" w:cs="仿宋_GB2312"/>
                <w:i w:val="0"/>
                <w:iCs w:val="0"/>
                <w:color w:val="000000"/>
                <w:kern w:val="2"/>
                <w:sz w:val="15"/>
                <w:szCs w:val="15"/>
                <w:u w:val="none"/>
                <w:lang w:val="en-US" w:eastAsia="zh-CN" w:bidi="ar-SA"/>
              </w:rPr>
            </w:pPr>
          </w:p>
        </w:tc>
      </w:tr>
      <w:tr w14:paraId="1777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397" w:type="pct"/>
            <w:vMerge w:val="continue"/>
            <w:vAlign w:val="center"/>
          </w:tcPr>
          <w:p w14:paraId="7BDC93C6">
            <w:pPr>
              <w:widowControl/>
              <w:shd w:val="clear"/>
              <w:snapToGrid w:val="0"/>
              <w:jc w:val="center"/>
              <w:rPr>
                <w:rFonts w:ascii="仿宋_GB2312" w:hAnsi="宋体" w:eastAsia="仿宋_GB2312" w:cs="Times New Roman"/>
                <w:kern w:val="0"/>
              </w:rPr>
            </w:pPr>
          </w:p>
        </w:tc>
        <w:tc>
          <w:tcPr>
            <w:tcW w:w="626" w:type="pct"/>
            <w:vMerge w:val="continue"/>
            <w:vAlign w:val="center"/>
          </w:tcPr>
          <w:p w14:paraId="3431A11C">
            <w:pPr>
              <w:widowControl/>
              <w:shd w:val="clear"/>
              <w:snapToGrid w:val="0"/>
              <w:jc w:val="center"/>
              <w:rPr>
                <w:rFonts w:ascii="仿宋_GB2312" w:hAnsi="宋体" w:eastAsia="仿宋_GB2312" w:cs="Times New Roman"/>
                <w:kern w:val="0"/>
              </w:rPr>
            </w:pPr>
          </w:p>
        </w:tc>
        <w:tc>
          <w:tcPr>
            <w:tcW w:w="750" w:type="pct"/>
            <w:vAlign w:val="center"/>
          </w:tcPr>
          <w:p w14:paraId="4BD2F3E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可持续影响指标</w:t>
            </w:r>
          </w:p>
          <w:p w14:paraId="15B172E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1668" w:type="pct"/>
            <w:gridSpan w:val="3"/>
            <w:vAlign w:val="center"/>
          </w:tcPr>
          <w:p w14:paraId="1881C90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782" w:type="pct"/>
            <w:vAlign w:val="center"/>
          </w:tcPr>
          <w:p w14:paraId="3EC4D112">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774" w:type="pct"/>
            <w:vAlign w:val="center"/>
          </w:tcPr>
          <w:p w14:paraId="2DC83019">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3CFB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Merge w:val="continue"/>
            <w:vAlign w:val="center"/>
          </w:tcPr>
          <w:p w14:paraId="3A57B51C">
            <w:pPr>
              <w:widowControl/>
              <w:shd w:val="clear"/>
              <w:snapToGrid w:val="0"/>
              <w:jc w:val="center"/>
              <w:rPr>
                <w:rFonts w:ascii="仿宋_GB2312" w:hAnsi="宋体" w:eastAsia="仿宋_GB2312" w:cs="Times New Roman"/>
                <w:kern w:val="0"/>
              </w:rPr>
            </w:pPr>
          </w:p>
        </w:tc>
        <w:tc>
          <w:tcPr>
            <w:tcW w:w="626" w:type="pct"/>
            <w:vAlign w:val="center"/>
          </w:tcPr>
          <w:p w14:paraId="10DCC02C">
            <w:pPr>
              <w:widowControl/>
              <w:shd w:val="clear"/>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满意度</w:t>
            </w:r>
          </w:p>
          <w:p w14:paraId="522E88CE">
            <w:pPr>
              <w:widowControl/>
              <w:shd w:val="clear"/>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750" w:type="pct"/>
            <w:vAlign w:val="center"/>
          </w:tcPr>
          <w:p w14:paraId="224FC30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服务对象满意度指标</w:t>
            </w:r>
          </w:p>
        </w:tc>
        <w:tc>
          <w:tcPr>
            <w:tcW w:w="1668" w:type="pct"/>
            <w:gridSpan w:val="3"/>
            <w:vAlign w:val="center"/>
          </w:tcPr>
          <w:p w14:paraId="3F8FBF0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服务对象满意度</w:t>
            </w:r>
          </w:p>
        </w:tc>
        <w:tc>
          <w:tcPr>
            <w:tcW w:w="782" w:type="pct"/>
            <w:vAlign w:val="center"/>
          </w:tcPr>
          <w:p w14:paraId="4E1B782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100%</w:t>
            </w:r>
          </w:p>
        </w:tc>
        <w:tc>
          <w:tcPr>
            <w:tcW w:w="774" w:type="pct"/>
            <w:vAlign w:val="center"/>
          </w:tcPr>
          <w:p w14:paraId="32DA9DA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100%</w:t>
            </w:r>
          </w:p>
        </w:tc>
      </w:tr>
      <w:tr w14:paraId="65A0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Align w:val="center"/>
          </w:tcPr>
          <w:p w14:paraId="16E0B529">
            <w:pPr>
              <w:widowControl/>
              <w:shd w:val="clear"/>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626" w:type="pct"/>
            <w:vAlign w:val="center"/>
          </w:tcPr>
          <w:p w14:paraId="0BBAE19A">
            <w:pPr>
              <w:widowControl/>
              <w:shd w:val="clear"/>
              <w:snapToGrid w:val="0"/>
              <w:jc w:val="center"/>
              <w:rPr>
                <w:rFonts w:ascii="仿宋_GB2312" w:hAnsi="宋体" w:eastAsia="仿宋_GB2312" w:cs="Times New Roman"/>
                <w:kern w:val="0"/>
              </w:rPr>
            </w:pPr>
          </w:p>
        </w:tc>
        <w:tc>
          <w:tcPr>
            <w:tcW w:w="750" w:type="pct"/>
            <w:vAlign w:val="center"/>
          </w:tcPr>
          <w:p w14:paraId="12EEF4B0">
            <w:pPr>
              <w:widowControl/>
              <w:shd w:val="clear"/>
              <w:snapToGrid w:val="0"/>
              <w:jc w:val="center"/>
              <w:rPr>
                <w:rFonts w:ascii="仿宋_GB2312" w:hAnsi="宋体" w:eastAsia="仿宋_GB2312" w:cs="仿宋_GB2312"/>
                <w:kern w:val="0"/>
                <w:sz w:val="21"/>
                <w:szCs w:val="22"/>
                <w:lang w:val="en-US" w:eastAsia="zh-CN" w:bidi="ar-SA"/>
              </w:rPr>
            </w:pPr>
            <w:r>
              <w:rPr>
                <w:rFonts w:hint="eastAsia" w:ascii="仿宋_GB2312" w:hAnsi="宋体" w:eastAsia="仿宋_GB2312" w:cs="仿宋_GB2312"/>
                <w:kern w:val="0"/>
              </w:rPr>
              <w:t>……</w:t>
            </w:r>
          </w:p>
        </w:tc>
        <w:tc>
          <w:tcPr>
            <w:tcW w:w="1668" w:type="pct"/>
            <w:gridSpan w:val="3"/>
            <w:vAlign w:val="center"/>
          </w:tcPr>
          <w:p w14:paraId="4F9237FD">
            <w:pPr>
              <w:widowControl/>
              <w:shd w:val="clear"/>
              <w:snapToGrid w:val="0"/>
              <w:jc w:val="center"/>
              <w:rPr>
                <w:rFonts w:ascii="仿宋_GB2312" w:hAnsi="宋体" w:eastAsia="仿宋_GB2312" w:cs="Times New Roman"/>
                <w:kern w:val="0"/>
              </w:rPr>
            </w:pPr>
          </w:p>
        </w:tc>
        <w:tc>
          <w:tcPr>
            <w:tcW w:w="782" w:type="pct"/>
            <w:vAlign w:val="center"/>
          </w:tcPr>
          <w:p w14:paraId="424748DB">
            <w:pPr>
              <w:widowControl/>
              <w:shd w:val="clear"/>
              <w:snapToGrid w:val="0"/>
              <w:jc w:val="center"/>
              <w:rPr>
                <w:rFonts w:ascii="仿宋_GB2312" w:hAnsi="宋体" w:eastAsia="仿宋_GB2312" w:cs="Times New Roman"/>
                <w:kern w:val="0"/>
              </w:rPr>
            </w:pPr>
          </w:p>
        </w:tc>
        <w:tc>
          <w:tcPr>
            <w:tcW w:w="774" w:type="pct"/>
            <w:vAlign w:val="center"/>
          </w:tcPr>
          <w:p w14:paraId="5ACB5624">
            <w:pPr>
              <w:widowControl/>
              <w:shd w:val="clear"/>
              <w:snapToGrid w:val="0"/>
              <w:jc w:val="center"/>
              <w:rPr>
                <w:rFonts w:ascii="仿宋_GB2312" w:hAnsi="宋体" w:eastAsia="仿宋_GB2312" w:cs="Times New Roman"/>
                <w:kern w:val="0"/>
              </w:rPr>
            </w:pPr>
          </w:p>
        </w:tc>
      </w:tr>
      <w:tr w14:paraId="0D77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pct"/>
            <w:vAlign w:val="center"/>
          </w:tcPr>
          <w:p w14:paraId="72070CCD">
            <w:pPr>
              <w:widowControl/>
              <w:shd w:val="clear"/>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626" w:type="pct"/>
            <w:vAlign w:val="center"/>
          </w:tcPr>
          <w:p w14:paraId="0BC296C1">
            <w:pPr>
              <w:widowControl/>
              <w:shd w:val="clear"/>
              <w:snapToGrid w:val="0"/>
              <w:jc w:val="center"/>
              <w:rPr>
                <w:rFonts w:ascii="仿宋_GB2312" w:hAnsi="宋体" w:eastAsia="仿宋_GB2312" w:cs="Times New Roman"/>
                <w:kern w:val="0"/>
              </w:rPr>
            </w:pPr>
          </w:p>
        </w:tc>
        <w:tc>
          <w:tcPr>
            <w:tcW w:w="750" w:type="pct"/>
            <w:vAlign w:val="center"/>
          </w:tcPr>
          <w:p w14:paraId="35420190">
            <w:pPr>
              <w:widowControl/>
              <w:shd w:val="clear"/>
              <w:snapToGrid w:val="0"/>
              <w:jc w:val="center"/>
              <w:rPr>
                <w:rFonts w:ascii="仿宋_GB2312" w:hAnsi="宋体" w:eastAsia="仿宋_GB2312" w:cs="Times New Roman"/>
                <w:kern w:val="0"/>
              </w:rPr>
            </w:pPr>
          </w:p>
        </w:tc>
        <w:tc>
          <w:tcPr>
            <w:tcW w:w="1668" w:type="pct"/>
            <w:gridSpan w:val="3"/>
            <w:vAlign w:val="center"/>
          </w:tcPr>
          <w:p w14:paraId="7C020995">
            <w:pPr>
              <w:widowControl/>
              <w:shd w:val="clear"/>
              <w:snapToGrid w:val="0"/>
              <w:jc w:val="center"/>
              <w:rPr>
                <w:rFonts w:ascii="仿宋_GB2312" w:hAnsi="宋体" w:eastAsia="仿宋_GB2312" w:cs="Times New Roman"/>
                <w:kern w:val="0"/>
              </w:rPr>
            </w:pPr>
          </w:p>
        </w:tc>
        <w:tc>
          <w:tcPr>
            <w:tcW w:w="782" w:type="pct"/>
            <w:vAlign w:val="center"/>
          </w:tcPr>
          <w:p w14:paraId="09A11ABB">
            <w:pPr>
              <w:widowControl/>
              <w:shd w:val="clear"/>
              <w:snapToGrid w:val="0"/>
              <w:jc w:val="center"/>
              <w:rPr>
                <w:rFonts w:ascii="仿宋_GB2312" w:hAnsi="宋体" w:eastAsia="仿宋_GB2312" w:cs="Times New Roman"/>
                <w:kern w:val="0"/>
              </w:rPr>
            </w:pPr>
          </w:p>
        </w:tc>
        <w:tc>
          <w:tcPr>
            <w:tcW w:w="774" w:type="pct"/>
            <w:vAlign w:val="center"/>
          </w:tcPr>
          <w:p w14:paraId="39DE3D78">
            <w:pPr>
              <w:widowControl/>
              <w:shd w:val="clear"/>
              <w:snapToGrid w:val="0"/>
              <w:jc w:val="center"/>
              <w:rPr>
                <w:rFonts w:ascii="仿宋_GB2312" w:hAnsi="宋体" w:eastAsia="仿宋_GB2312" w:cs="Times New Roman"/>
                <w:kern w:val="0"/>
              </w:rPr>
            </w:pPr>
          </w:p>
        </w:tc>
      </w:tr>
      <w:tr w14:paraId="624F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24" w:type="pct"/>
            <w:gridSpan w:val="2"/>
            <w:vAlign w:val="center"/>
          </w:tcPr>
          <w:p w14:paraId="50C78738">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61349092">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4775490A">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3975" w:type="pct"/>
            <w:gridSpan w:val="6"/>
            <w:vAlign w:val="center"/>
          </w:tcPr>
          <w:p w14:paraId="250D4FA1">
            <w:pPr>
              <w:widowControl/>
              <w:shd w:val="clear"/>
              <w:jc w:val="left"/>
              <w:rPr>
                <w:rFonts w:ascii="仿宋_GB2312" w:hAnsi="宋体" w:eastAsia="仿宋_GB2312" w:cs="Times New Roman"/>
                <w:kern w:val="0"/>
              </w:rPr>
            </w:pPr>
          </w:p>
        </w:tc>
      </w:tr>
      <w:tr w14:paraId="5696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4" w:type="pct"/>
            <w:gridSpan w:val="2"/>
            <w:vAlign w:val="center"/>
          </w:tcPr>
          <w:p w14:paraId="4AA1BAD8">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8DEAFF8">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3975" w:type="pct"/>
            <w:gridSpan w:val="6"/>
            <w:vAlign w:val="center"/>
          </w:tcPr>
          <w:p w14:paraId="7DD0B9EE">
            <w:pPr>
              <w:widowControl/>
              <w:shd w:val="clear"/>
              <w:jc w:val="left"/>
              <w:rPr>
                <w:rFonts w:ascii="仿宋_GB2312" w:hAnsi="宋体" w:eastAsia="仿宋_GB2312" w:cs="Times New Roman"/>
                <w:kern w:val="0"/>
              </w:rPr>
            </w:pPr>
          </w:p>
        </w:tc>
      </w:tr>
    </w:tbl>
    <w:p w14:paraId="1A61D75E">
      <w:pPr>
        <w:widowControl/>
        <w:shd w:val="clear"/>
        <w:rPr>
          <w:rFonts w:ascii="仿宋_GB2312" w:hAnsi="宋体" w:eastAsia="仿宋_GB2312" w:cs="Times New Roman"/>
          <w:kern w:val="0"/>
        </w:rPr>
      </w:pPr>
      <w:r>
        <w:rPr>
          <w:rFonts w:hint="eastAsia" w:ascii="仿宋_GB2312" w:hAnsi="宋体" w:eastAsia="仿宋_GB2312" w:cs="仿宋_GB2312"/>
          <w:kern w:val="0"/>
        </w:rPr>
        <w:t>备注：</w:t>
      </w:r>
    </w:p>
    <w:p w14:paraId="3713A494">
      <w:pPr>
        <w:widowControl/>
        <w:shd w:val="clear"/>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65F968FD">
      <w:pPr>
        <w:widowControl/>
        <w:shd w:val="clear"/>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7DEED4D0">
      <w:pPr>
        <w:widowControl/>
        <w:shd w:val="clear"/>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553550A6">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9345D7F">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4DFA71C">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9E0B60A">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14F1CA7">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DA6A880">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6FA606C">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D8E0D22">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10AE839">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E658140">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A4A593A">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08976F8">
      <w:pPr>
        <w:pStyle w:val="2"/>
        <w:rPr>
          <w:rFonts w:hint="eastAsia" w:ascii="黑体" w:hAnsi="黑体" w:eastAsia="黑体" w:cs="黑体"/>
          <w:color w:val="auto"/>
          <w:sz w:val="32"/>
          <w:szCs w:val="32"/>
          <w:lang w:val="en-US" w:eastAsia="zh-CN"/>
        </w:rPr>
      </w:pPr>
    </w:p>
    <w:p w14:paraId="126D8672">
      <w:pPr>
        <w:pStyle w:val="3"/>
        <w:rPr>
          <w:rFonts w:hint="eastAsia"/>
          <w:lang w:val="en-US" w:eastAsia="zh-CN"/>
        </w:rPr>
      </w:pPr>
    </w:p>
    <w:p w14:paraId="4AF2F659">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FE9384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3BB9A3B">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B32EDC9">
      <w:pPr>
        <w:pStyle w:val="2"/>
        <w:rPr>
          <w:rFonts w:hint="eastAsia" w:ascii="黑体" w:hAnsi="黑体" w:eastAsia="黑体" w:cs="黑体"/>
          <w:color w:val="auto"/>
          <w:sz w:val="32"/>
          <w:szCs w:val="32"/>
          <w:lang w:val="en-US" w:eastAsia="zh-CN"/>
        </w:rPr>
      </w:pPr>
    </w:p>
    <w:p w14:paraId="7D17B2A0">
      <w:pPr>
        <w:pStyle w:val="3"/>
        <w:rPr>
          <w:rFonts w:hint="eastAsia" w:ascii="黑体" w:hAnsi="黑体" w:eastAsia="黑体" w:cs="黑体"/>
          <w:color w:val="auto"/>
          <w:sz w:val="32"/>
          <w:szCs w:val="32"/>
          <w:lang w:val="en-US" w:eastAsia="zh-CN"/>
        </w:rPr>
      </w:pPr>
    </w:p>
    <w:p w14:paraId="68801190">
      <w:pPr>
        <w:rPr>
          <w:rFonts w:hint="eastAsia" w:ascii="黑体" w:hAnsi="黑体" w:eastAsia="黑体" w:cs="黑体"/>
          <w:color w:val="auto"/>
          <w:sz w:val="32"/>
          <w:szCs w:val="32"/>
          <w:lang w:val="en-US" w:eastAsia="zh-CN"/>
        </w:rPr>
      </w:pPr>
    </w:p>
    <w:p w14:paraId="7596FB8E">
      <w:pPr>
        <w:pStyle w:val="2"/>
        <w:rPr>
          <w:rFonts w:hint="eastAsia" w:ascii="黑体" w:hAnsi="黑体" w:eastAsia="黑体" w:cs="黑体"/>
          <w:color w:val="auto"/>
          <w:sz w:val="32"/>
          <w:szCs w:val="32"/>
          <w:lang w:val="en-US" w:eastAsia="zh-CN"/>
        </w:rPr>
      </w:pPr>
    </w:p>
    <w:p w14:paraId="60251B47">
      <w:pPr>
        <w:pStyle w:val="3"/>
        <w:rPr>
          <w:rFonts w:hint="eastAsia" w:ascii="黑体" w:hAnsi="黑体" w:eastAsia="黑体" w:cs="黑体"/>
          <w:color w:val="auto"/>
          <w:sz w:val="32"/>
          <w:szCs w:val="32"/>
          <w:lang w:val="en-US" w:eastAsia="zh-CN"/>
        </w:rPr>
      </w:pPr>
    </w:p>
    <w:p w14:paraId="6ADD8760">
      <w:pPr>
        <w:rPr>
          <w:rFonts w:hint="eastAsia"/>
          <w:lang w:val="en-US" w:eastAsia="zh-CN"/>
        </w:rPr>
      </w:pPr>
    </w:p>
    <w:p w14:paraId="6C6911F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0B7E423">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51F52F5A">
      <w:pPr>
        <w:shd w:val="clear"/>
        <w:jc w:val="center"/>
        <w:rPr>
          <w:rFonts w:hint="eastAsia" w:ascii="黑体" w:hAnsi="黑体" w:eastAsia="黑体" w:cs="黑体"/>
          <w:spacing w:val="-34"/>
          <w:sz w:val="44"/>
          <w:szCs w:val="44"/>
        </w:rPr>
      </w:pPr>
      <w:r>
        <w:rPr>
          <w:rFonts w:hint="eastAsia" w:ascii="黑体" w:hAnsi="黑体" w:eastAsia="黑体" w:cs="黑体"/>
          <w:spacing w:val="-34"/>
          <w:sz w:val="44"/>
          <w:szCs w:val="44"/>
          <w:lang w:val="en-US" w:eastAsia="zh-CN"/>
        </w:rPr>
        <w:t>2023</w:t>
      </w:r>
      <w:r>
        <w:rPr>
          <w:rFonts w:hint="eastAsia" w:ascii="黑体" w:hAnsi="黑体" w:eastAsia="黑体" w:cs="黑体"/>
          <w:spacing w:val="-34"/>
          <w:sz w:val="44"/>
          <w:szCs w:val="44"/>
        </w:rPr>
        <w:t>年度</w:t>
      </w:r>
      <w:r>
        <w:rPr>
          <w:rFonts w:hint="eastAsia" w:ascii="黑体" w:hAnsi="黑体" w:eastAsia="黑体" w:cs="黑体"/>
          <w:spacing w:val="-34"/>
          <w:sz w:val="44"/>
          <w:szCs w:val="44"/>
          <w:lang w:eastAsia="zh-CN"/>
        </w:rPr>
        <w:t>市自规局鄂城分局</w:t>
      </w:r>
      <w:r>
        <w:rPr>
          <w:rFonts w:hint="eastAsia" w:ascii="黑体" w:hAnsi="黑体" w:eastAsia="黑体" w:cs="黑体"/>
          <w:spacing w:val="-34"/>
          <w:sz w:val="44"/>
          <w:szCs w:val="44"/>
        </w:rPr>
        <w:t>部门整体绩效自评表</w:t>
      </w:r>
    </w:p>
    <w:p w14:paraId="7C941593">
      <w:pPr>
        <w:shd w:val="clear"/>
        <w:ind w:firstLine="840" w:firstLineChars="300"/>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spacing w:val="-11"/>
          <w:kern w:val="0"/>
          <w:sz w:val="28"/>
          <w:szCs w:val="28"/>
          <w:lang w:eastAsia="zh-CN"/>
        </w:rPr>
        <w:t>市自规局鄂城分局</w:t>
      </w:r>
      <w:r>
        <w:rPr>
          <w:rFonts w:hint="eastAsia" w:ascii="楷体_GB2312" w:hAnsi="仿宋" w:eastAsia="楷体_GB2312" w:cs="楷体_GB2312"/>
          <w:spacing w:val="-11"/>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2024年3月19日</w:t>
      </w:r>
    </w:p>
    <w:tbl>
      <w:tblPr>
        <w:tblStyle w:val="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535"/>
        <w:gridCol w:w="1728"/>
        <w:gridCol w:w="979"/>
        <w:gridCol w:w="839"/>
        <w:gridCol w:w="1200"/>
        <w:gridCol w:w="1225"/>
      </w:tblGrid>
      <w:tr w14:paraId="13AD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637DBE8E">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7EAFD34E">
            <w:pPr>
              <w:widowControl/>
              <w:shd w:val="clear"/>
              <w:jc w:val="center"/>
              <w:rPr>
                <w:rFonts w:ascii="仿宋_GB2312" w:hAnsi="宋体" w:eastAsia="仿宋_GB2312" w:cs="Times New Roman"/>
                <w:kern w:val="0"/>
              </w:rPr>
            </w:pPr>
            <w:r>
              <w:rPr>
                <w:rFonts w:hint="eastAsia" w:ascii="楷体_GB2312" w:hAnsi="仿宋" w:eastAsia="楷体_GB2312" w:cs="楷体_GB2312"/>
                <w:spacing w:val="-11"/>
                <w:kern w:val="0"/>
                <w:sz w:val="28"/>
                <w:szCs w:val="28"/>
                <w:lang w:eastAsia="zh-CN"/>
              </w:rPr>
              <w:t>市自然资源和规划局鄂城分局</w:t>
            </w:r>
          </w:p>
        </w:tc>
      </w:tr>
      <w:tr w14:paraId="7BA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456DE1C0">
            <w:pPr>
              <w:widowControl/>
              <w:shd w:val="clear"/>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5A378195">
            <w:pPr>
              <w:widowControl/>
              <w:shd w:val="clear"/>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1580.50万元</w:t>
            </w:r>
          </w:p>
        </w:tc>
        <w:tc>
          <w:tcPr>
            <w:tcW w:w="1818" w:type="dxa"/>
            <w:gridSpan w:val="2"/>
            <w:vAlign w:val="center"/>
          </w:tcPr>
          <w:p w14:paraId="0E72C616">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2F5A5830">
            <w:pPr>
              <w:widowControl/>
              <w:shd w:val="clear"/>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512.59万元</w:t>
            </w:r>
          </w:p>
        </w:tc>
      </w:tr>
      <w:tr w14:paraId="22AB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shd w:val="clear" w:color="auto" w:fill="auto"/>
            <w:vAlign w:val="center"/>
          </w:tcPr>
          <w:p w14:paraId="4D1654CA">
            <w:pPr>
              <w:widowControl/>
              <w:shd w:val="clear"/>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shd w:val="clear" w:color="auto" w:fill="auto"/>
            <w:vAlign w:val="center"/>
          </w:tcPr>
          <w:p w14:paraId="5B9F8FB9">
            <w:pPr>
              <w:widowControl/>
              <w:shd w:val="clear"/>
              <w:jc w:val="center"/>
              <w:rPr>
                <w:rFonts w:ascii="仿宋_GB2312" w:hAnsi="宋体" w:eastAsia="仿宋_GB2312" w:cs="Times New Roman"/>
                <w:kern w:val="0"/>
              </w:rPr>
            </w:pPr>
            <w:r>
              <w:rPr>
                <w:rFonts w:hint="eastAsia" w:ascii="仿宋_GB2312" w:hAnsi="宋体" w:eastAsia="仿宋_GB2312" w:cs="Times New Roman"/>
                <w:kern w:val="0"/>
              </w:rPr>
              <w:t>自然资源事务管理</w:t>
            </w:r>
          </w:p>
        </w:tc>
      </w:tr>
      <w:tr w14:paraId="548A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6547B208">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54605CF5">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5E7538D6">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5" w:type="dxa"/>
            <w:tcMar>
              <w:left w:w="57" w:type="dxa"/>
              <w:right w:w="57" w:type="dxa"/>
            </w:tcMar>
            <w:vAlign w:val="center"/>
          </w:tcPr>
          <w:p w14:paraId="46003C51">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707" w:type="dxa"/>
            <w:gridSpan w:val="2"/>
            <w:tcMar>
              <w:left w:w="57" w:type="dxa"/>
              <w:right w:w="57" w:type="dxa"/>
            </w:tcMar>
            <w:vAlign w:val="center"/>
          </w:tcPr>
          <w:p w14:paraId="1AEA5636">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839" w:type="dxa"/>
            <w:tcMar>
              <w:left w:w="57" w:type="dxa"/>
              <w:right w:w="57" w:type="dxa"/>
            </w:tcMar>
            <w:vAlign w:val="center"/>
          </w:tcPr>
          <w:p w14:paraId="3ED5C502">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5BDCC364">
            <w:pPr>
              <w:widowControl/>
              <w:shd w:val="clear"/>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41F5B2C7">
            <w:pPr>
              <w:widowControl/>
              <w:shd w:val="clear"/>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35C8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60443942">
            <w:pPr>
              <w:widowControl/>
              <w:shd w:val="clear"/>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9116606">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0CDE6065">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5" w:type="dxa"/>
            <w:tcMar>
              <w:left w:w="57" w:type="dxa"/>
              <w:right w:w="57" w:type="dxa"/>
            </w:tcMar>
            <w:vAlign w:val="center"/>
          </w:tcPr>
          <w:p w14:paraId="6BC40D0F">
            <w:pPr>
              <w:widowControl/>
              <w:shd w:val="clear"/>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707" w:type="dxa"/>
            <w:gridSpan w:val="2"/>
            <w:tcMar>
              <w:left w:w="57" w:type="dxa"/>
              <w:right w:w="57" w:type="dxa"/>
            </w:tcMar>
            <w:vAlign w:val="center"/>
          </w:tcPr>
          <w:p w14:paraId="47D18DCF">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839" w:type="dxa"/>
            <w:tcMar>
              <w:left w:w="57" w:type="dxa"/>
              <w:right w:w="57" w:type="dxa"/>
            </w:tcMar>
            <w:vAlign w:val="center"/>
          </w:tcPr>
          <w:p w14:paraId="732C5DC9">
            <w:pPr>
              <w:widowControl/>
              <w:shd w:val="clear"/>
              <w:snapToGrid w:val="0"/>
              <w:jc w:val="center"/>
              <w:rPr>
                <w:rFonts w:ascii="仿宋_GB2312" w:hAnsi="宋体" w:eastAsia="仿宋_GB2312"/>
                <w:color w:val="auto"/>
                <w:kern w:val="0"/>
                <w:highlight w:val="none"/>
              </w:rPr>
            </w:pPr>
          </w:p>
        </w:tc>
        <w:tc>
          <w:tcPr>
            <w:tcW w:w="1200" w:type="dxa"/>
            <w:shd w:val="clear" w:color="auto" w:fill="auto"/>
            <w:tcMar>
              <w:left w:w="57" w:type="dxa"/>
              <w:right w:w="57" w:type="dxa"/>
            </w:tcMar>
            <w:vAlign w:val="center"/>
          </w:tcPr>
          <w:p w14:paraId="39816347">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shd w:val="clear" w:color="auto" w:fill="auto"/>
            <w:tcMar>
              <w:left w:w="57" w:type="dxa"/>
              <w:right w:w="57" w:type="dxa"/>
            </w:tcMar>
            <w:vAlign w:val="center"/>
          </w:tcPr>
          <w:p w14:paraId="7EBCB20C">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61C7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79B60B15">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19B8349">
            <w:pPr>
              <w:widowControl/>
              <w:shd w:val="clear"/>
              <w:snapToGrid w:val="0"/>
              <w:jc w:val="center"/>
              <w:rPr>
                <w:rFonts w:ascii="仿宋_GB2312" w:hAnsi="宋体" w:eastAsia="仿宋_GB2312"/>
                <w:color w:val="auto"/>
                <w:kern w:val="0"/>
                <w:highlight w:val="none"/>
              </w:rPr>
            </w:pPr>
          </w:p>
        </w:tc>
        <w:tc>
          <w:tcPr>
            <w:tcW w:w="1535" w:type="dxa"/>
            <w:tcMar>
              <w:left w:w="57" w:type="dxa"/>
              <w:right w:w="57" w:type="dxa"/>
            </w:tcMar>
            <w:vAlign w:val="center"/>
          </w:tcPr>
          <w:p w14:paraId="1B9B1340">
            <w:pPr>
              <w:widowControl/>
              <w:shd w:val="clear"/>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707" w:type="dxa"/>
            <w:gridSpan w:val="2"/>
            <w:tcMar>
              <w:left w:w="57" w:type="dxa"/>
              <w:right w:w="57" w:type="dxa"/>
            </w:tcMar>
            <w:vAlign w:val="center"/>
          </w:tcPr>
          <w:p w14:paraId="31ACBB44">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839" w:type="dxa"/>
            <w:tcMar>
              <w:left w:w="57" w:type="dxa"/>
              <w:right w:w="57" w:type="dxa"/>
            </w:tcMar>
            <w:vAlign w:val="center"/>
          </w:tcPr>
          <w:p w14:paraId="287447F0">
            <w:pPr>
              <w:widowControl/>
              <w:shd w:val="clear"/>
              <w:snapToGrid w:val="0"/>
              <w:jc w:val="center"/>
              <w:rPr>
                <w:rFonts w:ascii="仿宋_GB2312" w:hAnsi="宋体" w:eastAsia="仿宋_GB2312"/>
                <w:color w:val="auto"/>
                <w:kern w:val="0"/>
                <w:highlight w:val="none"/>
              </w:rPr>
            </w:pPr>
          </w:p>
        </w:tc>
        <w:tc>
          <w:tcPr>
            <w:tcW w:w="1200" w:type="dxa"/>
            <w:shd w:val="clear" w:color="auto" w:fill="auto"/>
            <w:tcMar>
              <w:left w:w="57" w:type="dxa"/>
              <w:right w:w="57" w:type="dxa"/>
            </w:tcMar>
            <w:vAlign w:val="center"/>
          </w:tcPr>
          <w:p w14:paraId="2D5E40D8">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shd w:val="clear" w:color="auto" w:fill="auto"/>
            <w:tcMar>
              <w:left w:w="57" w:type="dxa"/>
              <w:right w:w="57" w:type="dxa"/>
            </w:tcMar>
            <w:vAlign w:val="center"/>
          </w:tcPr>
          <w:p w14:paraId="318D9032">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80</w:t>
            </w:r>
            <w:r>
              <w:rPr>
                <w:rFonts w:hint="default" w:ascii="仿宋_GB2312" w:hAnsi="宋体" w:eastAsia="仿宋_GB2312" w:cs="仿宋_GB2312"/>
                <w:i w:val="0"/>
                <w:iCs w:val="0"/>
                <w:color w:val="000000"/>
                <w:kern w:val="0"/>
                <w:sz w:val="21"/>
                <w:szCs w:val="21"/>
                <w:u w:val="none"/>
                <w:lang w:val="en-US" w:eastAsia="zh-CN" w:bidi="ar"/>
              </w:rPr>
              <w:t>%</w:t>
            </w:r>
          </w:p>
        </w:tc>
      </w:tr>
      <w:tr w14:paraId="4D6F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687C2025">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F612595">
            <w:pPr>
              <w:widowControl/>
              <w:shd w:val="clear"/>
              <w:snapToGrid w:val="0"/>
              <w:jc w:val="center"/>
              <w:rPr>
                <w:rFonts w:ascii="仿宋_GB2312" w:hAnsi="宋体" w:eastAsia="仿宋_GB2312"/>
                <w:color w:val="auto"/>
                <w:kern w:val="0"/>
                <w:highlight w:val="none"/>
              </w:rPr>
            </w:pPr>
          </w:p>
        </w:tc>
        <w:tc>
          <w:tcPr>
            <w:tcW w:w="1535" w:type="dxa"/>
            <w:vMerge w:val="restart"/>
            <w:tcMar>
              <w:left w:w="57" w:type="dxa"/>
              <w:right w:w="57" w:type="dxa"/>
            </w:tcMar>
            <w:vAlign w:val="center"/>
          </w:tcPr>
          <w:p w14:paraId="4137A83E">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707" w:type="dxa"/>
            <w:gridSpan w:val="2"/>
            <w:tcMar>
              <w:left w:w="57" w:type="dxa"/>
              <w:right w:w="57" w:type="dxa"/>
            </w:tcMar>
            <w:vAlign w:val="center"/>
          </w:tcPr>
          <w:p w14:paraId="18EDA85B">
            <w:pPr>
              <w:widowControl/>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shd w:val="clear"/>
              </w:rPr>
              <w:t>会议费控制率</w:t>
            </w:r>
          </w:p>
        </w:tc>
        <w:tc>
          <w:tcPr>
            <w:tcW w:w="839" w:type="dxa"/>
            <w:tcMar>
              <w:left w:w="57" w:type="dxa"/>
              <w:right w:w="57" w:type="dxa"/>
            </w:tcMar>
            <w:vAlign w:val="center"/>
          </w:tcPr>
          <w:p w14:paraId="3A1A6750">
            <w:pPr>
              <w:widowControl/>
              <w:shd w:val="clear"/>
              <w:snapToGrid w:val="0"/>
              <w:jc w:val="center"/>
              <w:rPr>
                <w:rFonts w:ascii="仿宋_GB2312" w:hAnsi="宋体" w:eastAsia="仿宋_GB2312"/>
                <w:color w:val="auto"/>
                <w:kern w:val="0"/>
                <w:highlight w:val="none"/>
              </w:rPr>
            </w:pPr>
          </w:p>
        </w:tc>
        <w:tc>
          <w:tcPr>
            <w:tcW w:w="1200" w:type="dxa"/>
            <w:shd w:val="clear" w:color="auto" w:fill="auto"/>
            <w:tcMar>
              <w:left w:w="57" w:type="dxa"/>
              <w:right w:w="57" w:type="dxa"/>
            </w:tcMar>
            <w:vAlign w:val="center"/>
          </w:tcPr>
          <w:p w14:paraId="2C8C0B4D">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shd w:val="clear" w:color="auto" w:fill="auto"/>
            <w:tcMar>
              <w:left w:w="57" w:type="dxa"/>
              <w:right w:w="57" w:type="dxa"/>
            </w:tcMar>
            <w:vAlign w:val="center"/>
          </w:tcPr>
          <w:p w14:paraId="06800583">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30AC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385A0D01">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DCD406A">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5975F570">
            <w:pPr>
              <w:widowControl/>
              <w:shd w:val="clear"/>
              <w:snapToGrid w:val="0"/>
              <w:jc w:val="center"/>
              <w:rPr>
                <w:rFonts w:ascii="仿宋_GB2312" w:hAnsi="宋体" w:eastAsia="仿宋_GB2312"/>
                <w:color w:val="auto"/>
                <w:kern w:val="0"/>
                <w:highlight w:val="none"/>
              </w:rPr>
            </w:pPr>
          </w:p>
        </w:tc>
        <w:tc>
          <w:tcPr>
            <w:tcW w:w="2707" w:type="dxa"/>
            <w:gridSpan w:val="2"/>
            <w:tcMar>
              <w:left w:w="57" w:type="dxa"/>
              <w:right w:w="57" w:type="dxa"/>
            </w:tcMar>
            <w:vAlign w:val="center"/>
          </w:tcPr>
          <w:p w14:paraId="1D05F953">
            <w:pPr>
              <w:widowControl/>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w:t>
            </w:r>
            <w:bookmarkStart w:id="0" w:name="_GoBack"/>
            <w:bookmarkEnd w:id="0"/>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经费变动率</w:t>
            </w:r>
          </w:p>
        </w:tc>
        <w:tc>
          <w:tcPr>
            <w:tcW w:w="839" w:type="dxa"/>
            <w:tcMar>
              <w:left w:w="57" w:type="dxa"/>
              <w:right w:w="57" w:type="dxa"/>
            </w:tcMar>
            <w:vAlign w:val="center"/>
          </w:tcPr>
          <w:p w14:paraId="0DDA730B">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DBCB0CE">
            <w:pPr>
              <w:widowControl/>
              <w:shd w:val="clear"/>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225" w:type="dxa"/>
            <w:tcMar>
              <w:left w:w="57" w:type="dxa"/>
              <w:right w:w="57" w:type="dxa"/>
            </w:tcMar>
            <w:vAlign w:val="center"/>
          </w:tcPr>
          <w:p w14:paraId="5895C5B7">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r>
      <w:tr w14:paraId="4986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803F0CD">
            <w:pPr>
              <w:widowControl/>
              <w:shd w:val="clear"/>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AB7070D">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286666CF">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5" w:type="dxa"/>
            <w:tcMar>
              <w:left w:w="57" w:type="dxa"/>
              <w:right w:w="57" w:type="dxa"/>
            </w:tcMar>
            <w:vAlign w:val="center"/>
          </w:tcPr>
          <w:p w14:paraId="1FFD3A70">
            <w:pPr>
              <w:widowControl/>
              <w:shd w:val="clear"/>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707" w:type="dxa"/>
            <w:gridSpan w:val="2"/>
            <w:tcMar>
              <w:left w:w="57" w:type="dxa"/>
              <w:right w:w="57" w:type="dxa"/>
            </w:tcMar>
            <w:vAlign w:val="center"/>
          </w:tcPr>
          <w:p w14:paraId="03CED700">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工作计划健全性</w:t>
            </w:r>
          </w:p>
        </w:tc>
        <w:tc>
          <w:tcPr>
            <w:tcW w:w="839" w:type="dxa"/>
            <w:tcMar>
              <w:left w:w="57" w:type="dxa"/>
              <w:right w:w="57" w:type="dxa"/>
            </w:tcMar>
            <w:vAlign w:val="center"/>
          </w:tcPr>
          <w:p w14:paraId="57174FCA">
            <w:pPr>
              <w:widowControl/>
              <w:shd w:val="clear"/>
              <w:snapToGrid w:val="0"/>
              <w:jc w:val="center"/>
              <w:rPr>
                <w:rFonts w:hint="default" w:ascii="仿宋_GB2312" w:hAnsi="宋体" w:eastAsia="仿宋_GB2312" w:cstheme="minorBidi"/>
                <w:color w:val="auto"/>
                <w:kern w:val="0"/>
                <w:sz w:val="21"/>
                <w:szCs w:val="22"/>
                <w:highlight w:val="none"/>
                <w:lang w:val="en-US" w:eastAsia="zh-CN" w:bidi="ar-SA"/>
              </w:rPr>
            </w:pPr>
          </w:p>
        </w:tc>
        <w:tc>
          <w:tcPr>
            <w:tcW w:w="1200" w:type="dxa"/>
            <w:tcMar>
              <w:left w:w="57" w:type="dxa"/>
              <w:right w:w="57" w:type="dxa"/>
            </w:tcMar>
            <w:vAlign w:val="center"/>
          </w:tcPr>
          <w:p w14:paraId="02E131A9">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00120A4E">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1F6D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2596DF27">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116F23F">
            <w:pPr>
              <w:widowControl/>
              <w:shd w:val="clear"/>
              <w:snapToGrid w:val="0"/>
              <w:jc w:val="center"/>
              <w:rPr>
                <w:rFonts w:ascii="仿宋_GB2312" w:hAnsi="宋体" w:eastAsia="仿宋_GB2312"/>
                <w:color w:val="auto"/>
                <w:kern w:val="0"/>
                <w:highlight w:val="none"/>
              </w:rPr>
            </w:pPr>
          </w:p>
        </w:tc>
        <w:tc>
          <w:tcPr>
            <w:tcW w:w="1535" w:type="dxa"/>
            <w:vMerge w:val="restart"/>
            <w:tcMar>
              <w:left w:w="57" w:type="dxa"/>
              <w:right w:w="57" w:type="dxa"/>
            </w:tcMar>
            <w:vAlign w:val="center"/>
          </w:tcPr>
          <w:p w14:paraId="485BD147">
            <w:pPr>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707" w:type="dxa"/>
            <w:gridSpan w:val="2"/>
            <w:tcMar>
              <w:left w:w="57" w:type="dxa"/>
              <w:right w:w="57" w:type="dxa"/>
            </w:tcMar>
            <w:vAlign w:val="center"/>
          </w:tcPr>
          <w:p w14:paraId="6AC70B78">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839" w:type="dxa"/>
            <w:tcMar>
              <w:left w:w="57" w:type="dxa"/>
              <w:right w:w="57" w:type="dxa"/>
            </w:tcMar>
            <w:vAlign w:val="center"/>
          </w:tcPr>
          <w:p w14:paraId="540027F1">
            <w:pPr>
              <w:widowControl/>
              <w:shd w:val="clear"/>
              <w:snapToGrid w:val="0"/>
              <w:jc w:val="center"/>
              <w:rPr>
                <w:rFonts w:hint="default" w:ascii="仿宋_GB2312" w:hAnsi="宋体" w:eastAsia="仿宋_GB2312"/>
                <w:color w:val="FF0000"/>
                <w:kern w:val="0"/>
                <w:highlight w:val="none"/>
                <w:lang w:val="en-US" w:eastAsia="zh-CN"/>
              </w:rPr>
            </w:pPr>
          </w:p>
        </w:tc>
        <w:tc>
          <w:tcPr>
            <w:tcW w:w="1200" w:type="dxa"/>
            <w:tcMar>
              <w:left w:w="57" w:type="dxa"/>
              <w:right w:w="57" w:type="dxa"/>
            </w:tcMar>
            <w:vAlign w:val="center"/>
          </w:tcPr>
          <w:p w14:paraId="3B320AAF">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661FC420">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5F1F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E7F677D">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439D91E">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69C77FF9">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7E620C5D">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839" w:type="dxa"/>
            <w:tcMar>
              <w:left w:w="57" w:type="dxa"/>
              <w:right w:w="57" w:type="dxa"/>
            </w:tcMar>
            <w:vAlign w:val="center"/>
          </w:tcPr>
          <w:p w14:paraId="311D719F">
            <w:pPr>
              <w:widowControl/>
              <w:shd w:val="clear"/>
              <w:snapToGrid w:val="0"/>
              <w:jc w:val="center"/>
              <w:rPr>
                <w:rFonts w:hint="default" w:ascii="仿宋_GB2312" w:hAnsi="宋体" w:eastAsia="仿宋_GB2312"/>
                <w:color w:val="FF0000"/>
                <w:kern w:val="0"/>
                <w:highlight w:val="none"/>
                <w:lang w:val="en-US" w:eastAsia="zh-CN"/>
              </w:rPr>
            </w:pPr>
          </w:p>
        </w:tc>
        <w:tc>
          <w:tcPr>
            <w:tcW w:w="1200" w:type="dxa"/>
            <w:tcMar>
              <w:left w:w="57" w:type="dxa"/>
              <w:right w:w="57" w:type="dxa"/>
            </w:tcMar>
            <w:vAlign w:val="center"/>
          </w:tcPr>
          <w:p w14:paraId="1EC2990A">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00D6CC10">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711A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D7D8021">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12FBC5F">
            <w:pPr>
              <w:widowControl/>
              <w:shd w:val="clear"/>
              <w:snapToGrid w:val="0"/>
              <w:jc w:val="center"/>
              <w:rPr>
                <w:rFonts w:ascii="仿宋_GB2312" w:hAnsi="宋体" w:eastAsia="仿宋_GB2312"/>
                <w:color w:val="auto"/>
                <w:kern w:val="0"/>
                <w:highlight w:val="none"/>
              </w:rPr>
            </w:pPr>
          </w:p>
        </w:tc>
        <w:tc>
          <w:tcPr>
            <w:tcW w:w="1535" w:type="dxa"/>
            <w:vMerge w:val="restart"/>
            <w:tcMar>
              <w:left w:w="57" w:type="dxa"/>
              <w:right w:w="57" w:type="dxa"/>
            </w:tcMar>
            <w:vAlign w:val="center"/>
          </w:tcPr>
          <w:p w14:paraId="57B7885A">
            <w:pPr>
              <w:widowControl/>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707" w:type="dxa"/>
            <w:gridSpan w:val="2"/>
            <w:tcMar>
              <w:left w:w="57" w:type="dxa"/>
              <w:right w:w="57" w:type="dxa"/>
            </w:tcMar>
            <w:vAlign w:val="center"/>
          </w:tcPr>
          <w:p w14:paraId="61422B3D">
            <w:pPr>
              <w:widowControl/>
              <w:shd w:val="clear"/>
              <w:snapToGrid w:val="0"/>
              <w:jc w:val="center"/>
              <w:rPr>
                <w:rFonts w:hint="eastAsia" w:ascii="仿宋_GB2312" w:hAnsi="宋体" w:eastAsia="仿宋_GB2312" w:cs="仿宋_GB2312"/>
                <w:color w:val="auto"/>
                <w:kern w:val="0"/>
                <w:highlight w:val="none"/>
                <w:shd w:val="clear" w:fill="FFFF00"/>
              </w:rPr>
            </w:pPr>
            <w:r>
              <w:rPr>
                <w:rFonts w:hint="eastAsia" w:ascii="仿宋_GB2312" w:hAnsi="宋体" w:eastAsia="仿宋_GB2312" w:cs="仿宋_GB2312"/>
                <w:color w:val="auto"/>
                <w:kern w:val="0"/>
                <w:highlight w:val="none"/>
                <w:shd w:val="clear"/>
              </w:rPr>
              <w:t>预算执行</w:t>
            </w:r>
            <w:r>
              <w:rPr>
                <w:rFonts w:hint="eastAsia" w:ascii="仿宋_GB2312" w:hAnsi="宋体" w:eastAsia="仿宋_GB2312"/>
                <w:color w:val="auto"/>
                <w:kern w:val="0"/>
                <w:highlight w:val="none"/>
              </w:rPr>
              <w:t>率</w:t>
            </w:r>
          </w:p>
        </w:tc>
        <w:tc>
          <w:tcPr>
            <w:tcW w:w="839" w:type="dxa"/>
            <w:tcMar>
              <w:left w:w="57" w:type="dxa"/>
              <w:right w:w="57" w:type="dxa"/>
            </w:tcMar>
            <w:vAlign w:val="center"/>
          </w:tcPr>
          <w:p w14:paraId="52973233">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26E8542A">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316FC771">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0DCC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6228755E">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F90A5D8">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35FAC16B">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21DD55BB">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839" w:type="dxa"/>
            <w:tcMar>
              <w:left w:w="57" w:type="dxa"/>
              <w:right w:w="57" w:type="dxa"/>
            </w:tcMar>
            <w:vAlign w:val="center"/>
          </w:tcPr>
          <w:p w14:paraId="7BE66E60">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8826E4B">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1561914A">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2803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569CC6AD">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734E7DA">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08FB07ED">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09703F76">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839" w:type="dxa"/>
            <w:tcMar>
              <w:left w:w="57" w:type="dxa"/>
              <w:right w:w="57" w:type="dxa"/>
            </w:tcMar>
            <w:vAlign w:val="center"/>
          </w:tcPr>
          <w:p w14:paraId="30ED5BB7">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3140A539">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013B7DA8">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4BC2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09FBBD45">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5E3B1A6">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681D019B">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2BAE6A47">
            <w:pPr>
              <w:widowControl/>
              <w:shd w:val="clear"/>
              <w:snapToGrid w:val="0"/>
              <w:jc w:val="center"/>
              <w:rPr>
                <w:rFonts w:hint="eastAsia" w:ascii="仿宋_GB2312" w:hAnsi="宋体" w:eastAsia="仿宋_GB2312" w:cs="仿宋_GB2312"/>
                <w:color w:val="auto"/>
                <w:kern w:val="0"/>
                <w:highlight w:val="none"/>
                <w:shd w:val="clear" w:fill="FFFF00"/>
              </w:rPr>
            </w:pPr>
            <w:r>
              <w:rPr>
                <w:rFonts w:hint="eastAsia" w:ascii="仿宋_GB2312" w:hAnsi="宋体" w:eastAsia="仿宋_GB2312" w:cs="仿宋_GB2312"/>
                <w:color w:val="auto"/>
                <w:kern w:val="0"/>
                <w:highlight w:val="none"/>
                <w:shd w:val="clear"/>
              </w:rPr>
              <w:t>绩效监控开展率</w:t>
            </w:r>
          </w:p>
        </w:tc>
        <w:tc>
          <w:tcPr>
            <w:tcW w:w="839" w:type="dxa"/>
            <w:tcMar>
              <w:left w:w="57" w:type="dxa"/>
              <w:right w:w="57" w:type="dxa"/>
            </w:tcMar>
            <w:vAlign w:val="center"/>
          </w:tcPr>
          <w:p w14:paraId="3DB4661D">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40FB0895">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6B08A54C">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54C0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2B88116">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DC2C873">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22353F7B">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3C303F8E">
            <w:pPr>
              <w:widowControl/>
              <w:shd w:val="clear"/>
              <w:snapToGrid w:val="0"/>
              <w:jc w:val="center"/>
              <w:rPr>
                <w:rFonts w:hint="eastAsia" w:ascii="仿宋_GB2312" w:hAnsi="宋体" w:eastAsia="仿宋_GB2312" w:cs="仿宋_GB2312"/>
                <w:color w:val="auto"/>
                <w:kern w:val="0"/>
                <w:highlight w:val="none"/>
                <w:shd w:val="clear" w:fill="FFFF00"/>
              </w:rPr>
            </w:pPr>
            <w:r>
              <w:rPr>
                <w:rFonts w:hint="eastAsia" w:ascii="仿宋_GB2312" w:hAnsi="宋体" w:eastAsia="仿宋_GB2312" w:cs="仿宋_GB2312"/>
                <w:color w:val="auto"/>
                <w:kern w:val="0"/>
                <w:highlight w:val="none"/>
                <w:shd w:val="clear"/>
              </w:rPr>
              <w:t>绩效评价覆盖率</w:t>
            </w:r>
          </w:p>
        </w:tc>
        <w:tc>
          <w:tcPr>
            <w:tcW w:w="839" w:type="dxa"/>
            <w:tcMar>
              <w:left w:w="57" w:type="dxa"/>
              <w:right w:w="57" w:type="dxa"/>
            </w:tcMar>
            <w:vAlign w:val="center"/>
          </w:tcPr>
          <w:p w14:paraId="7545E521">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030A91F">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18CC4A40">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52F5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DBB8494">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F1828A1">
            <w:pPr>
              <w:widowControl/>
              <w:shd w:val="clear"/>
              <w:snapToGrid w:val="0"/>
              <w:jc w:val="center"/>
              <w:rPr>
                <w:rFonts w:ascii="仿宋_GB2312" w:hAnsi="宋体" w:eastAsia="仿宋_GB2312"/>
                <w:color w:val="auto"/>
                <w:kern w:val="0"/>
                <w:highlight w:val="none"/>
              </w:rPr>
            </w:pPr>
          </w:p>
        </w:tc>
        <w:tc>
          <w:tcPr>
            <w:tcW w:w="1535" w:type="dxa"/>
            <w:tcMar>
              <w:left w:w="57" w:type="dxa"/>
              <w:right w:w="57" w:type="dxa"/>
            </w:tcMar>
            <w:vAlign w:val="center"/>
          </w:tcPr>
          <w:p w14:paraId="35CBA0FD">
            <w:pPr>
              <w:widowControl/>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707" w:type="dxa"/>
            <w:gridSpan w:val="2"/>
            <w:tcMar>
              <w:left w:w="57" w:type="dxa"/>
              <w:right w:w="57" w:type="dxa"/>
            </w:tcMar>
            <w:vAlign w:val="center"/>
          </w:tcPr>
          <w:p w14:paraId="722500DD">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839" w:type="dxa"/>
            <w:tcMar>
              <w:left w:w="57" w:type="dxa"/>
              <w:right w:w="57" w:type="dxa"/>
            </w:tcMar>
            <w:vAlign w:val="center"/>
          </w:tcPr>
          <w:p w14:paraId="273C066D">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677FA898">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072A0A94">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4AD8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7EAA09DD">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B3B0C72">
            <w:pPr>
              <w:widowControl/>
              <w:shd w:val="clear"/>
              <w:snapToGrid w:val="0"/>
              <w:jc w:val="center"/>
              <w:rPr>
                <w:rFonts w:ascii="仿宋_GB2312" w:hAnsi="宋体" w:eastAsia="仿宋_GB2312"/>
                <w:color w:val="auto"/>
                <w:kern w:val="0"/>
                <w:highlight w:val="none"/>
              </w:rPr>
            </w:pPr>
          </w:p>
        </w:tc>
        <w:tc>
          <w:tcPr>
            <w:tcW w:w="1535" w:type="dxa"/>
            <w:vMerge w:val="restart"/>
            <w:tcMar>
              <w:left w:w="57" w:type="dxa"/>
              <w:right w:w="57" w:type="dxa"/>
            </w:tcMar>
            <w:vAlign w:val="center"/>
          </w:tcPr>
          <w:p w14:paraId="74072AE9">
            <w:pPr>
              <w:widowControl/>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707" w:type="dxa"/>
            <w:gridSpan w:val="2"/>
            <w:tcMar>
              <w:left w:w="57" w:type="dxa"/>
              <w:right w:w="57" w:type="dxa"/>
            </w:tcMar>
            <w:vAlign w:val="center"/>
          </w:tcPr>
          <w:p w14:paraId="3AF950A3">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839" w:type="dxa"/>
            <w:tcMar>
              <w:left w:w="57" w:type="dxa"/>
              <w:right w:w="57" w:type="dxa"/>
            </w:tcMar>
            <w:vAlign w:val="center"/>
          </w:tcPr>
          <w:p w14:paraId="5DFDF68B">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5DB88636">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50B19A16">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1B80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E7C61BF">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4559893">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4C042D5C">
            <w:pPr>
              <w:widowControl/>
              <w:shd w:val="clear"/>
              <w:snapToGrid w:val="0"/>
              <w:jc w:val="center"/>
              <w:rPr>
                <w:rFonts w:ascii="仿宋_GB2312" w:hAnsi="宋体" w:eastAsia="仿宋_GB2312"/>
                <w:color w:val="auto"/>
                <w:kern w:val="0"/>
                <w:highlight w:val="none"/>
              </w:rPr>
            </w:pPr>
          </w:p>
        </w:tc>
        <w:tc>
          <w:tcPr>
            <w:tcW w:w="2707" w:type="dxa"/>
            <w:gridSpan w:val="2"/>
            <w:tcMar>
              <w:left w:w="57" w:type="dxa"/>
              <w:right w:w="57" w:type="dxa"/>
            </w:tcMar>
            <w:vAlign w:val="center"/>
          </w:tcPr>
          <w:p w14:paraId="6E8F5A46">
            <w:pPr>
              <w:widowControl/>
              <w:shd w:val="clear"/>
              <w:snapToGrid w:val="0"/>
              <w:jc w:val="center"/>
              <w:rPr>
                <w:rFonts w:hint="eastAsia" w:ascii="仿宋_GB2312" w:hAnsi="宋体" w:eastAsia="仿宋_GB2312" w:cs="仿宋_GB2312"/>
                <w:color w:val="auto"/>
                <w:kern w:val="0"/>
                <w:highlight w:val="none"/>
                <w:shd w:val="clear" w:fill="FFFF00"/>
              </w:rPr>
            </w:pPr>
            <w:r>
              <w:rPr>
                <w:rFonts w:hint="eastAsia" w:ascii="仿宋_GB2312" w:hAnsi="宋体" w:eastAsia="仿宋_GB2312" w:cs="仿宋_GB2312"/>
                <w:color w:val="auto"/>
                <w:kern w:val="0"/>
                <w:highlight w:val="none"/>
                <w:shd w:val="clear"/>
              </w:rPr>
              <w:t>会计核算规范性</w:t>
            </w:r>
          </w:p>
        </w:tc>
        <w:tc>
          <w:tcPr>
            <w:tcW w:w="839" w:type="dxa"/>
            <w:tcMar>
              <w:left w:w="57" w:type="dxa"/>
              <w:right w:w="57" w:type="dxa"/>
            </w:tcMar>
            <w:vAlign w:val="center"/>
          </w:tcPr>
          <w:p w14:paraId="12B97267">
            <w:pPr>
              <w:widowControl/>
              <w:shd w:val="clear"/>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2CAB5318">
            <w:pPr>
              <w:widowControl/>
              <w:shd w:val="clear"/>
              <w:snapToGrid w:val="0"/>
              <w:jc w:val="center"/>
              <w:rPr>
                <w:rFonts w:ascii="仿宋_GB2312" w:hAnsi="宋体" w:eastAsia="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6D758D5C">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04E6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A4CA644">
            <w:pPr>
              <w:widowControl/>
              <w:shd w:val="clear"/>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70A42488">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78A5D0C0">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5" w:type="dxa"/>
            <w:vMerge w:val="restart"/>
            <w:shd w:val="clear" w:color="auto" w:fill="auto"/>
            <w:tcMar>
              <w:left w:w="57" w:type="dxa"/>
              <w:right w:w="57" w:type="dxa"/>
            </w:tcMar>
            <w:vAlign w:val="center"/>
          </w:tcPr>
          <w:p w14:paraId="4DB37A8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数量指标</w:t>
            </w:r>
          </w:p>
          <w:p w14:paraId="351D860D">
            <w:pPr>
              <w:widowControl/>
              <w:shd w:val="clear"/>
              <w:snapToGrid w:val="0"/>
              <w:jc w:val="center"/>
              <w:rPr>
                <w:rFonts w:ascii="仿宋_GB2312" w:hAnsi="宋体" w:eastAsia="仿宋_GB2312" w:cs="仿宋_GB2312"/>
                <w:color w:val="auto"/>
                <w:kern w:val="0"/>
                <w:highlight w:val="none"/>
              </w:rPr>
            </w:pPr>
          </w:p>
        </w:tc>
        <w:tc>
          <w:tcPr>
            <w:tcW w:w="2707" w:type="dxa"/>
            <w:gridSpan w:val="2"/>
            <w:tcMar>
              <w:left w:w="57" w:type="dxa"/>
              <w:right w:w="57" w:type="dxa"/>
            </w:tcMar>
            <w:vAlign w:val="center"/>
          </w:tcPr>
          <w:p w14:paraId="3CB6DA9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地质灾害培训和应急演练</w:t>
            </w:r>
          </w:p>
        </w:tc>
        <w:tc>
          <w:tcPr>
            <w:tcW w:w="839" w:type="dxa"/>
            <w:tcMar>
              <w:left w:w="57" w:type="dxa"/>
              <w:right w:w="57" w:type="dxa"/>
            </w:tcMar>
            <w:vAlign w:val="center"/>
          </w:tcPr>
          <w:p w14:paraId="5A12071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1200" w:type="dxa"/>
            <w:tcMar>
              <w:left w:w="57" w:type="dxa"/>
              <w:right w:w="57" w:type="dxa"/>
            </w:tcMar>
            <w:vAlign w:val="center"/>
          </w:tcPr>
          <w:p w14:paraId="108EEB1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300人次</w:t>
            </w:r>
          </w:p>
        </w:tc>
        <w:tc>
          <w:tcPr>
            <w:tcW w:w="1225" w:type="dxa"/>
            <w:tcMar>
              <w:left w:w="57" w:type="dxa"/>
              <w:right w:w="57" w:type="dxa"/>
            </w:tcMar>
            <w:vAlign w:val="center"/>
          </w:tcPr>
          <w:p w14:paraId="07CC21FD">
            <w:pPr>
              <w:widowControl/>
              <w:shd w:val="clear"/>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350人次</w:t>
            </w:r>
          </w:p>
        </w:tc>
      </w:tr>
      <w:tr w14:paraId="38F8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650" w:type="dxa"/>
            <w:vMerge w:val="continue"/>
            <w:tcMar>
              <w:left w:w="57" w:type="dxa"/>
              <w:right w:w="57" w:type="dxa"/>
            </w:tcMar>
            <w:vAlign w:val="center"/>
          </w:tcPr>
          <w:p w14:paraId="1A052A09">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ECD2D82">
            <w:pPr>
              <w:widowControl/>
              <w:shd w:val="clear"/>
              <w:snapToGrid w:val="0"/>
              <w:jc w:val="center"/>
              <w:rPr>
                <w:rFonts w:ascii="仿宋_GB2312" w:hAnsi="宋体" w:eastAsia="仿宋_GB2312"/>
                <w:color w:val="auto"/>
                <w:kern w:val="0"/>
                <w:highlight w:val="none"/>
              </w:rPr>
            </w:pPr>
          </w:p>
        </w:tc>
        <w:tc>
          <w:tcPr>
            <w:tcW w:w="1535" w:type="dxa"/>
            <w:vMerge w:val="continue"/>
            <w:shd w:val="clear" w:color="auto" w:fill="auto"/>
            <w:tcMar>
              <w:left w:w="57" w:type="dxa"/>
              <w:right w:w="57" w:type="dxa"/>
            </w:tcMar>
            <w:vAlign w:val="center"/>
          </w:tcPr>
          <w:p w14:paraId="045F8C36">
            <w:pPr>
              <w:widowControl/>
              <w:shd w:val="clear"/>
              <w:snapToGrid w:val="0"/>
              <w:jc w:val="center"/>
              <w:rPr>
                <w:rFonts w:ascii="仿宋_GB2312" w:hAnsi="宋体" w:eastAsia="仿宋_GB2312" w:cs="仿宋_GB2312"/>
                <w:color w:val="auto"/>
                <w:kern w:val="0"/>
                <w:highlight w:val="none"/>
              </w:rPr>
            </w:pPr>
          </w:p>
        </w:tc>
        <w:tc>
          <w:tcPr>
            <w:tcW w:w="2707" w:type="dxa"/>
            <w:gridSpan w:val="2"/>
            <w:tcMar>
              <w:left w:w="57" w:type="dxa"/>
              <w:right w:w="57" w:type="dxa"/>
            </w:tcMar>
            <w:vAlign w:val="center"/>
          </w:tcPr>
          <w:p w14:paraId="546B0213">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安全生产宣传人数</w:t>
            </w:r>
          </w:p>
        </w:tc>
        <w:tc>
          <w:tcPr>
            <w:tcW w:w="839" w:type="dxa"/>
            <w:tcMar>
              <w:left w:w="57" w:type="dxa"/>
              <w:right w:w="57" w:type="dxa"/>
            </w:tcMar>
            <w:vAlign w:val="center"/>
          </w:tcPr>
          <w:p w14:paraId="366D1A27">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1200" w:type="dxa"/>
            <w:tcMar>
              <w:left w:w="57" w:type="dxa"/>
              <w:right w:w="57" w:type="dxa"/>
            </w:tcMar>
            <w:vAlign w:val="center"/>
          </w:tcPr>
          <w:p w14:paraId="264817F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r>
              <w:rPr>
                <w:rFonts w:hint="default" w:ascii="仿宋_GB2312" w:hAnsi="宋体" w:eastAsia="仿宋_GB2312" w:cs="仿宋_GB2312"/>
                <w:i w:val="0"/>
                <w:iCs w:val="0"/>
                <w:color w:val="000000"/>
                <w:kern w:val="0"/>
                <w:sz w:val="21"/>
                <w:szCs w:val="21"/>
                <w:u w:val="none"/>
                <w:lang w:val="en-US" w:eastAsia="zh-CN" w:bidi="ar"/>
              </w:rPr>
              <w:t>00人次</w:t>
            </w:r>
          </w:p>
        </w:tc>
        <w:tc>
          <w:tcPr>
            <w:tcW w:w="1225" w:type="dxa"/>
            <w:tcMar>
              <w:left w:w="57" w:type="dxa"/>
              <w:right w:w="57" w:type="dxa"/>
            </w:tcMar>
            <w:vAlign w:val="center"/>
          </w:tcPr>
          <w:p w14:paraId="39BB0CC5">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350人次</w:t>
            </w:r>
          </w:p>
        </w:tc>
      </w:tr>
      <w:tr w14:paraId="6A55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23939C80">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517505D">
            <w:pPr>
              <w:widowControl/>
              <w:shd w:val="clear"/>
              <w:snapToGrid w:val="0"/>
              <w:jc w:val="center"/>
              <w:rPr>
                <w:rFonts w:ascii="仿宋_GB2312" w:hAnsi="宋体" w:eastAsia="仿宋_GB2312"/>
                <w:color w:val="auto"/>
                <w:kern w:val="0"/>
                <w:highlight w:val="none"/>
              </w:rPr>
            </w:pPr>
          </w:p>
        </w:tc>
        <w:tc>
          <w:tcPr>
            <w:tcW w:w="1535" w:type="dxa"/>
            <w:vMerge w:val="continue"/>
            <w:shd w:val="clear" w:color="auto" w:fill="auto"/>
            <w:tcMar>
              <w:left w:w="57" w:type="dxa"/>
              <w:right w:w="57" w:type="dxa"/>
            </w:tcMar>
            <w:vAlign w:val="center"/>
          </w:tcPr>
          <w:p w14:paraId="0DC31AC0">
            <w:pPr>
              <w:widowControl/>
              <w:shd w:val="clear"/>
              <w:snapToGrid w:val="0"/>
              <w:jc w:val="center"/>
              <w:rPr>
                <w:rFonts w:ascii="仿宋_GB2312" w:hAnsi="宋体" w:eastAsia="仿宋_GB2312" w:cs="仿宋_GB2312"/>
                <w:color w:val="auto"/>
                <w:kern w:val="0"/>
                <w:highlight w:val="none"/>
              </w:rPr>
            </w:pPr>
          </w:p>
        </w:tc>
        <w:tc>
          <w:tcPr>
            <w:tcW w:w="2707" w:type="dxa"/>
            <w:gridSpan w:val="2"/>
            <w:tcMar>
              <w:left w:w="57" w:type="dxa"/>
              <w:right w:w="57" w:type="dxa"/>
            </w:tcMar>
            <w:vAlign w:val="center"/>
          </w:tcPr>
          <w:p w14:paraId="54D68CB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森林覆盖率</w:t>
            </w:r>
          </w:p>
        </w:tc>
        <w:tc>
          <w:tcPr>
            <w:tcW w:w="839" w:type="dxa"/>
            <w:tcMar>
              <w:left w:w="57" w:type="dxa"/>
              <w:right w:w="57" w:type="dxa"/>
            </w:tcMar>
            <w:vAlign w:val="center"/>
          </w:tcPr>
          <w:p w14:paraId="1EF61A8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p>
        </w:tc>
        <w:tc>
          <w:tcPr>
            <w:tcW w:w="1200" w:type="dxa"/>
            <w:tcMar>
              <w:left w:w="57" w:type="dxa"/>
              <w:right w:w="57" w:type="dxa"/>
            </w:tcMar>
            <w:vAlign w:val="center"/>
          </w:tcPr>
          <w:p w14:paraId="2C80B4C4">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大于等于11.36%</w:t>
            </w:r>
          </w:p>
        </w:tc>
        <w:tc>
          <w:tcPr>
            <w:tcW w:w="1225" w:type="dxa"/>
            <w:tcMar>
              <w:left w:w="57" w:type="dxa"/>
              <w:right w:w="57" w:type="dxa"/>
            </w:tcMar>
            <w:vAlign w:val="center"/>
          </w:tcPr>
          <w:p w14:paraId="22C9B618">
            <w:pPr>
              <w:widowControl/>
              <w:shd w:val="clear"/>
              <w:snapToGrid w:val="0"/>
              <w:jc w:val="center"/>
              <w:rPr>
                <w:rFonts w:ascii="仿宋_GB2312" w:hAnsi="宋体" w:eastAsia="仿宋_GB2312" w:cs="仿宋_GB2312"/>
                <w:color w:val="auto"/>
                <w:kern w:val="0"/>
                <w:highlight w:val="none"/>
              </w:rPr>
            </w:pPr>
            <w:r>
              <w:rPr>
                <w:rFonts w:hint="default" w:ascii="仿宋_GB2312" w:hAnsi="宋体" w:eastAsia="仿宋_GB2312" w:cs="仿宋_GB2312"/>
                <w:i w:val="0"/>
                <w:iCs w:val="0"/>
                <w:color w:val="000000"/>
                <w:kern w:val="0"/>
                <w:sz w:val="15"/>
                <w:szCs w:val="15"/>
                <w:u w:val="none"/>
                <w:lang w:val="en-US" w:eastAsia="zh-CN" w:bidi="ar"/>
              </w:rPr>
              <w:t>11.36%</w:t>
            </w:r>
          </w:p>
        </w:tc>
      </w:tr>
      <w:tr w14:paraId="730F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1EF07C62">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DB352CD">
            <w:pPr>
              <w:widowControl/>
              <w:shd w:val="clear"/>
              <w:snapToGrid w:val="0"/>
              <w:jc w:val="center"/>
              <w:rPr>
                <w:rFonts w:ascii="仿宋_GB2312" w:hAnsi="宋体" w:eastAsia="仿宋_GB2312"/>
                <w:color w:val="auto"/>
                <w:kern w:val="0"/>
                <w:highlight w:val="none"/>
              </w:rPr>
            </w:pPr>
          </w:p>
        </w:tc>
        <w:tc>
          <w:tcPr>
            <w:tcW w:w="1535" w:type="dxa"/>
            <w:vMerge w:val="continue"/>
            <w:shd w:val="clear" w:color="auto" w:fill="auto"/>
            <w:tcMar>
              <w:left w:w="57" w:type="dxa"/>
              <w:right w:w="57" w:type="dxa"/>
            </w:tcMar>
            <w:vAlign w:val="center"/>
          </w:tcPr>
          <w:p w14:paraId="2662903C">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26ACF1F9">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永久基本农田保护率</w:t>
            </w:r>
          </w:p>
        </w:tc>
        <w:tc>
          <w:tcPr>
            <w:tcW w:w="839" w:type="dxa"/>
            <w:tcMar>
              <w:left w:w="57" w:type="dxa"/>
              <w:right w:w="57" w:type="dxa"/>
            </w:tcMar>
            <w:vAlign w:val="center"/>
          </w:tcPr>
          <w:p w14:paraId="337FB79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p>
        </w:tc>
        <w:tc>
          <w:tcPr>
            <w:tcW w:w="1200" w:type="dxa"/>
            <w:tcMar>
              <w:left w:w="57" w:type="dxa"/>
              <w:right w:w="57" w:type="dxa"/>
            </w:tcMar>
            <w:vAlign w:val="center"/>
          </w:tcPr>
          <w:p w14:paraId="556633E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大于等于80%</w:t>
            </w:r>
          </w:p>
        </w:tc>
        <w:tc>
          <w:tcPr>
            <w:tcW w:w="1225" w:type="dxa"/>
            <w:tcMar>
              <w:left w:w="57" w:type="dxa"/>
              <w:right w:w="57" w:type="dxa"/>
            </w:tcMar>
            <w:vAlign w:val="center"/>
          </w:tcPr>
          <w:p w14:paraId="6661F1CC">
            <w:pPr>
              <w:widowControl/>
              <w:shd w:val="clear"/>
              <w:snapToGrid w:val="0"/>
              <w:jc w:val="center"/>
              <w:rPr>
                <w:rFonts w:ascii="仿宋_GB2312" w:hAnsi="宋体" w:eastAsia="仿宋_GB2312" w:cs="仿宋_GB2312"/>
                <w:color w:val="auto"/>
                <w:kern w:val="0"/>
                <w:highlight w:val="none"/>
              </w:rPr>
            </w:pPr>
            <w:r>
              <w:rPr>
                <w:rFonts w:hint="default" w:ascii="仿宋_GB2312" w:hAnsi="宋体" w:eastAsia="仿宋_GB2312" w:cs="仿宋_GB2312"/>
                <w:i w:val="0"/>
                <w:iCs w:val="0"/>
                <w:color w:val="000000"/>
                <w:kern w:val="0"/>
                <w:sz w:val="15"/>
                <w:szCs w:val="15"/>
                <w:u w:val="none"/>
                <w:lang w:val="en-US" w:eastAsia="zh-CN" w:bidi="ar"/>
              </w:rPr>
              <w:t>80%</w:t>
            </w:r>
          </w:p>
        </w:tc>
      </w:tr>
      <w:tr w14:paraId="562E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1C0C829">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CE38147">
            <w:pPr>
              <w:widowControl/>
              <w:shd w:val="clear"/>
              <w:snapToGrid w:val="0"/>
              <w:jc w:val="center"/>
              <w:rPr>
                <w:rFonts w:ascii="仿宋_GB2312" w:hAnsi="宋体" w:eastAsia="仿宋_GB2312"/>
                <w:color w:val="auto"/>
                <w:kern w:val="0"/>
                <w:highlight w:val="none"/>
              </w:rPr>
            </w:pPr>
          </w:p>
        </w:tc>
        <w:tc>
          <w:tcPr>
            <w:tcW w:w="1535" w:type="dxa"/>
            <w:vMerge w:val="continue"/>
            <w:shd w:val="clear" w:color="auto" w:fill="auto"/>
            <w:tcMar>
              <w:left w:w="57" w:type="dxa"/>
              <w:right w:w="57" w:type="dxa"/>
            </w:tcMar>
            <w:vAlign w:val="center"/>
          </w:tcPr>
          <w:p w14:paraId="73DC7F82">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4F1DD1E4">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 xml:space="preserve">永久基本农田中不符合要求地类数量减少比例  </w:t>
            </w:r>
          </w:p>
        </w:tc>
        <w:tc>
          <w:tcPr>
            <w:tcW w:w="839" w:type="dxa"/>
            <w:tcMar>
              <w:left w:w="57" w:type="dxa"/>
              <w:right w:w="57" w:type="dxa"/>
            </w:tcMar>
            <w:vAlign w:val="center"/>
          </w:tcPr>
          <w:p w14:paraId="256AA6E1">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1200" w:type="dxa"/>
            <w:tcMar>
              <w:left w:w="57" w:type="dxa"/>
              <w:right w:w="57" w:type="dxa"/>
            </w:tcMar>
            <w:vAlign w:val="center"/>
          </w:tcPr>
          <w:p w14:paraId="00B6715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大于等于5%</w:t>
            </w:r>
          </w:p>
        </w:tc>
        <w:tc>
          <w:tcPr>
            <w:tcW w:w="1225" w:type="dxa"/>
            <w:tcMar>
              <w:left w:w="57" w:type="dxa"/>
              <w:right w:w="57" w:type="dxa"/>
            </w:tcMar>
            <w:vAlign w:val="center"/>
          </w:tcPr>
          <w:p w14:paraId="4477648F">
            <w:pPr>
              <w:widowControl/>
              <w:shd w:val="clear"/>
              <w:snapToGrid w:val="0"/>
              <w:jc w:val="center"/>
              <w:rPr>
                <w:rFonts w:ascii="仿宋_GB2312" w:hAnsi="宋体" w:eastAsia="仿宋_GB2312" w:cs="仿宋_GB2312"/>
                <w:color w:val="auto"/>
                <w:kern w:val="0"/>
                <w:highlight w:val="none"/>
              </w:rPr>
            </w:pPr>
            <w:r>
              <w:rPr>
                <w:rFonts w:hint="default" w:ascii="仿宋_GB2312" w:hAnsi="宋体" w:eastAsia="仿宋_GB2312" w:cs="仿宋_GB2312"/>
                <w:i w:val="0"/>
                <w:iCs w:val="0"/>
                <w:color w:val="000000"/>
                <w:kern w:val="0"/>
                <w:sz w:val="21"/>
                <w:szCs w:val="21"/>
                <w:u w:val="none"/>
                <w:lang w:val="en-US" w:eastAsia="zh-CN" w:bidi="ar"/>
              </w:rPr>
              <w:t>5%</w:t>
            </w:r>
          </w:p>
        </w:tc>
      </w:tr>
      <w:tr w14:paraId="3E8F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297B6323">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ECFE769">
            <w:pPr>
              <w:widowControl/>
              <w:shd w:val="clear"/>
              <w:snapToGrid w:val="0"/>
              <w:jc w:val="center"/>
              <w:rPr>
                <w:rFonts w:ascii="仿宋_GB2312" w:hAnsi="宋体" w:eastAsia="仿宋_GB2312"/>
                <w:color w:val="auto"/>
                <w:kern w:val="0"/>
                <w:highlight w:val="none"/>
              </w:rPr>
            </w:pPr>
          </w:p>
        </w:tc>
        <w:tc>
          <w:tcPr>
            <w:tcW w:w="1535" w:type="dxa"/>
            <w:vMerge w:val="continue"/>
            <w:shd w:val="clear" w:color="auto" w:fill="auto"/>
            <w:tcMar>
              <w:left w:w="57" w:type="dxa"/>
              <w:right w:w="57" w:type="dxa"/>
            </w:tcMar>
            <w:vAlign w:val="center"/>
          </w:tcPr>
          <w:p w14:paraId="329A850E">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11A354CA">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项目预算控制数</w:t>
            </w:r>
          </w:p>
        </w:tc>
        <w:tc>
          <w:tcPr>
            <w:tcW w:w="839" w:type="dxa"/>
            <w:tcMar>
              <w:left w:w="57" w:type="dxa"/>
              <w:right w:w="57" w:type="dxa"/>
            </w:tcMar>
            <w:vAlign w:val="center"/>
          </w:tcPr>
          <w:p w14:paraId="4E74FDF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1200" w:type="dxa"/>
            <w:tcMar>
              <w:left w:w="57" w:type="dxa"/>
              <w:right w:w="57" w:type="dxa"/>
            </w:tcMar>
            <w:vAlign w:val="center"/>
          </w:tcPr>
          <w:p w14:paraId="3FB78398">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Times New Roman"/>
                <w:kern w:val="0"/>
                <w:lang w:val="en-US" w:eastAsia="zh-CN"/>
              </w:rPr>
              <w:t>512.59万元</w:t>
            </w:r>
          </w:p>
        </w:tc>
        <w:tc>
          <w:tcPr>
            <w:tcW w:w="1225" w:type="dxa"/>
            <w:tcMar>
              <w:left w:w="57" w:type="dxa"/>
              <w:right w:w="57" w:type="dxa"/>
            </w:tcMar>
            <w:vAlign w:val="center"/>
          </w:tcPr>
          <w:p w14:paraId="3E8261D6">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512.59万元</w:t>
            </w:r>
          </w:p>
        </w:tc>
      </w:tr>
      <w:tr w14:paraId="1A46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8076B65">
            <w:pPr>
              <w:widowControl/>
              <w:shd w:val="clear"/>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194B7D9">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5323BFE2">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35" w:type="dxa"/>
            <w:tcMar>
              <w:left w:w="57" w:type="dxa"/>
              <w:right w:w="57" w:type="dxa"/>
            </w:tcMar>
            <w:vAlign w:val="center"/>
          </w:tcPr>
          <w:p w14:paraId="543560F8">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707" w:type="dxa"/>
            <w:gridSpan w:val="2"/>
            <w:tcMar>
              <w:left w:w="57" w:type="dxa"/>
              <w:right w:w="57" w:type="dxa"/>
            </w:tcMar>
            <w:vAlign w:val="center"/>
          </w:tcPr>
          <w:p w14:paraId="11BCCF0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839" w:type="dxa"/>
            <w:tcMar>
              <w:left w:w="57" w:type="dxa"/>
              <w:right w:w="57" w:type="dxa"/>
            </w:tcMar>
            <w:vAlign w:val="center"/>
          </w:tcPr>
          <w:p w14:paraId="6224D93F">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1200" w:type="dxa"/>
            <w:tcMar>
              <w:left w:w="57" w:type="dxa"/>
              <w:right w:w="57" w:type="dxa"/>
            </w:tcMar>
            <w:vAlign w:val="center"/>
          </w:tcPr>
          <w:p w14:paraId="61C53F4E">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1225" w:type="dxa"/>
            <w:tcMar>
              <w:left w:w="57" w:type="dxa"/>
              <w:right w:w="57" w:type="dxa"/>
            </w:tcMar>
            <w:vAlign w:val="center"/>
          </w:tcPr>
          <w:p w14:paraId="77BB5FE7">
            <w:pPr>
              <w:widowControl/>
              <w:shd w:val="clear"/>
              <w:snapToGrid w:val="0"/>
              <w:jc w:val="center"/>
              <w:rPr>
                <w:rFonts w:ascii="仿宋_GB2312" w:hAnsi="宋体" w:eastAsia="仿宋_GB2312" w:cs="仿宋_GB2312"/>
                <w:color w:val="auto"/>
                <w:kern w:val="0"/>
                <w:sz w:val="21"/>
                <w:szCs w:val="22"/>
                <w:highlight w:val="none"/>
                <w:lang w:val="en-US" w:eastAsia="zh-CN" w:bidi="ar-SA"/>
              </w:rPr>
            </w:pPr>
          </w:p>
        </w:tc>
      </w:tr>
      <w:tr w14:paraId="6862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B9FA1BE">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A2D9B7D">
            <w:pPr>
              <w:widowControl/>
              <w:shd w:val="clear"/>
              <w:snapToGrid w:val="0"/>
              <w:jc w:val="center"/>
              <w:rPr>
                <w:rFonts w:hint="eastAsia" w:ascii="仿宋_GB2312" w:hAnsi="宋体" w:eastAsia="仿宋_GB2312"/>
                <w:color w:val="auto"/>
                <w:kern w:val="0"/>
                <w:highlight w:val="none"/>
              </w:rPr>
            </w:pPr>
          </w:p>
        </w:tc>
        <w:tc>
          <w:tcPr>
            <w:tcW w:w="1535" w:type="dxa"/>
            <w:vMerge w:val="restart"/>
            <w:tcMar>
              <w:left w:w="57" w:type="dxa"/>
              <w:right w:w="57" w:type="dxa"/>
            </w:tcMar>
            <w:vAlign w:val="center"/>
          </w:tcPr>
          <w:p w14:paraId="30B88A38">
            <w:pPr>
              <w:widowControl/>
              <w:shd w:val="clear"/>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社会效益</w:t>
            </w:r>
          </w:p>
        </w:tc>
        <w:tc>
          <w:tcPr>
            <w:tcW w:w="2707" w:type="dxa"/>
            <w:gridSpan w:val="2"/>
            <w:tcMar>
              <w:left w:w="57" w:type="dxa"/>
              <w:right w:w="57" w:type="dxa"/>
            </w:tcMar>
            <w:vAlign w:val="center"/>
          </w:tcPr>
          <w:p w14:paraId="53D8BA67">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default" w:ascii="仿宋_GB2312" w:hAnsi="宋体" w:eastAsia="仿宋_GB2312" w:cs="仿宋_GB2312"/>
                <w:i w:val="0"/>
                <w:iCs w:val="0"/>
                <w:color w:val="000000"/>
                <w:kern w:val="0"/>
                <w:sz w:val="15"/>
                <w:szCs w:val="15"/>
                <w:u w:val="none"/>
                <w:lang w:val="en-US" w:eastAsia="zh-CN" w:bidi="ar"/>
              </w:rPr>
              <w:t>矿山企业安全生产管理措施落实率</w:t>
            </w:r>
          </w:p>
        </w:tc>
        <w:tc>
          <w:tcPr>
            <w:tcW w:w="839" w:type="dxa"/>
            <w:tcMar>
              <w:left w:w="57" w:type="dxa"/>
              <w:right w:w="57" w:type="dxa"/>
            </w:tcMar>
            <w:vAlign w:val="center"/>
          </w:tcPr>
          <w:p w14:paraId="50758A06">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1200" w:type="dxa"/>
            <w:tcMar>
              <w:left w:w="57" w:type="dxa"/>
              <w:right w:w="57" w:type="dxa"/>
            </w:tcMar>
            <w:vAlign w:val="center"/>
          </w:tcPr>
          <w:p w14:paraId="77E9A8BC">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default" w:ascii="仿宋_GB2312" w:hAnsi="宋体" w:eastAsia="仿宋_GB2312" w:cs="仿宋_GB2312"/>
                <w:i w:val="0"/>
                <w:iCs w:val="0"/>
                <w:color w:val="000000"/>
                <w:kern w:val="0"/>
                <w:sz w:val="15"/>
                <w:szCs w:val="15"/>
                <w:u w:val="none"/>
                <w:lang w:val="en-US" w:eastAsia="zh-CN" w:bidi="ar"/>
              </w:rPr>
              <w:t>大于等于100%</w:t>
            </w:r>
          </w:p>
        </w:tc>
        <w:tc>
          <w:tcPr>
            <w:tcW w:w="1225" w:type="dxa"/>
            <w:tcMar>
              <w:left w:w="57" w:type="dxa"/>
              <w:right w:w="57" w:type="dxa"/>
            </w:tcMar>
            <w:vAlign w:val="center"/>
          </w:tcPr>
          <w:p w14:paraId="6DE10B47">
            <w:pPr>
              <w:widowControl/>
              <w:shd w:val="clear"/>
              <w:snapToGrid w:val="0"/>
              <w:jc w:val="center"/>
              <w:rPr>
                <w:rFonts w:hint="default" w:ascii="仿宋_GB2312" w:hAnsi="宋体" w:eastAsia="仿宋_GB2312" w:cs="仿宋_GB2312"/>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15"/>
                <w:szCs w:val="15"/>
                <w:u w:val="none"/>
                <w:lang w:val="en-US" w:eastAsia="zh-CN" w:bidi="ar"/>
              </w:rPr>
              <w:t>100%</w:t>
            </w:r>
          </w:p>
        </w:tc>
      </w:tr>
      <w:tr w14:paraId="7937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79CA9780">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3EFCAEC">
            <w:pPr>
              <w:widowControl/>
              <w:shd w:val="clear"/>
              <w:snapToGrid w:val="0"/>
              <w:jc w:val="center"/>
              <w:rPr>
                <w:rFonts w:hint="eastAsia" w:ascii="仿宋_GB2312" w:hAnsi="宋体" w:eastAsia="仿宋_GB2312"/>
                <w:color w:val="auto"/>
                <w:kern w:val="0"/>
                <w:highlight w:val="none"/>
              </w:rPr>
            </w:pPr>
          </w:p>
        </w:tc>
        <w:tc>
          <w:tcPr>
            <w:tcW w:w="1535" w:type="dxa"/>
            <w:vMerge w:val="continue"/>
            <w:tcMar>
              <w:left w:w="57" w:type="dxa"/>
              <w:right w:w="57" w:type="dxa"/>
            </w:tcMar>
            <w:vAlign w:val="center"/>
          </w:tcPr>
          <w:p w14:paraId="51D4EE01">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4A702703">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永久基本农田保护工作开展率</w:t>
            </w:r>
          </w:p>
        </w:tc>
        <w:tc>
          <w:tcPr>
            <w:tcW w:w="839" w:type="dxa"/>
            <w:tcMar>
              <w:left w:w="57" w:type="dxa"/>
              <w:right w:w="57" w:type="dxa"/>
            </w:tcMar>
            <w:vAlign w:val="center"/>
          </w:tcPr>
          <w:p w14:paraId="518ADCC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1200" w:type="dxa"/>
            <w:tcMar>
              <w:left w:w="57" w:type="dxa"/>
              <w:right w:w="57" w:type="dxa"/>
            </w:tcMar>
            <w:vAlign w:val="center"/>
          </w:tcPr>
          <w:p w14:paraId="1D6988D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default" w:ascii="仿宋_GB2312" w:hAnsi="宋体" w:eastAsia="仿宋_GB2312" w:cs="仿宋_GB2312"/>
                <w:i w:val="0"/>
                <w:iCs w:val="0"/>
                <w:color w:val="000000"/>
                <w:kern w:val="0"/>
                <w:sz w:val="15"/>
                <w:szCs w:val="15"/>
                <w:u w:val="none"/>
                <w:lang w:val="en-US" w:eastAsia="zh-CN" w:bidi="ar"/>
              </w:rPr>
              <w:t>大于等于100%</w:t>
            </w:r>
          </w:p>
        </w:tc>
        <w:tc>
          <w:tcPr>
            <w:tcW w:w="1225" w:type="dxa"/>
            <w:tcMar>
              <w:left w:w="57" w:type="dxa"/>
              <w:right w:w="57" w:type="dxa"/>
            </w:tcMar>
            <w:vAlign w:val="center"/>
          </w:tcPr>
          <w:p w14:paraId="00BAD6CB">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15"/>
                <w:szCs w:val="15"/>
                <w:u w:val="none"/>
                <w:lang w:val="en-US" w:eastAsia="zh-CN" w:bidi="ar"/>
              </w:rPr>
              <w:t>100%</w:t>
            </w:r>
          </w:p>
        </w:tc>
      </w:tr>
      <w:tr w14:paraId="1753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03A97EEA">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C9DF5AE">
            <w:pPr>
              <w:widowControl/>
              <w:shd w:val="clear"/>
              <w:snapToGrid w:val="0"/>
              <w:jc w:val="center"/>
              <w:rPr>
                <w:rFonts w:ascii="仿宋_GB2312" w:hAnsi="宋体" w:eastAsia="仿宋_GB2312"/>
                <w:color w:val="auto"/>
                <w:kern w:val="0"/>
                <w:highlight w:val="none"/>
              </w:rPr>
            </w:pPr>
          </w:p>
        </w:tc>
        <w:tc>
          <w:tcPr>
            <w:tcW w:w="1535" w:type="dxa"/>
            <w:tcMar>
              <w:left w:w="57" w:type="dxa"/>
              <w:right w:w="57" w:type="dxa"/>
            </w:tcMar>
            <w:vAlign w:val="center"/>
          </w:tcPr>
          <w:p w14:paraId="0ED3CD81">
            <w:pPr>
              <w:widowControl/>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707" w:type="dxa"/>
            <w:gridSpan w:val="2"/>
            <w:tcMar>
              <w:left w:w="57" w:type="dxa"/>
              <w:right w:w="57" w:type="dxa"/>
            </w:tcMar>
            <w:vAlign w:val="center"/>
          </w:tcPr>
          <w:p w14:paraId="33B13467">
            <w:pPr>
              <w:keepNext w:val="0"/>
              <w:keepLines w:val="0"/>
              <w:widowControl/>
              <w:suppressLineNumbers w:val="0"/>
              <w:shd w:val="clear"/>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松林面积松材线虫病爆发率</w:t>
            </w:r>
          </w:p>
        </w:tc>
        <w:tc>
          <w:tcPr>
            <w:tcW w:w="839" w:type="dxa"/>
            <w:tcMar>
              <w:left w:w="57" w:type="dxa"/>
              <w:right w:w="57" w:type="dxa"/>
            </w:tcMar>
            <w:vAlign w:val="center"/>
          </w:tcPr>
          <w:p w14:paraId="65327105">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p>
        </w:tc>
        <w:tc>
          <w:tcPr>
            <w:tcW w:w="1200" w:type="dxa"/>
            <w:tcMar>
              <w:left w:w="57" w:type="dxa"/>
              <w:right w:w="57" w:type="dxa"/>
            </w:tcMar>
            <w:vAlign w:val="center"/>
          </w:tcPr>
          <w:p w14:paraId="154DB47D">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default" w:ascii="仿宋_GB2312" w:hAnsi="宋体" w:eastAsia="仿宋_GB2312" w:cs="仿宋_GB2312"/>
                <w:i w:val="0"/>
                <w:iCs w:val="0"/>
                <w:color w:val="000000"/>
                <w:kern w:val="0"/>
                <w:sz w:val="15"/>
                <w:szCs w:val="15"/>
                <w:u w:val="none"/>
                <w:lang w:val="en-US" w:eastAsia="zh-CN" w:bidi="ar"/>
              </w:rPr>
              <w:t>小于等于0%</w:t>
            </w:r>
          </w:p>
        </w:tc>
        <w:tc>
          <w:tcPr>
            <w:tcW w:w="1225" w:type="dxa"/>
            <w:tcMar>
              <w:left w:w="57" w:type="dxa"/>
              <w:right w:w="57" w:type="dxa"/>
            </w:tcMar>
            <w:vAlign w:val="center"/>
          </w:tcPr>
          <w:p w14:paraId="7CFB5E9B">
            <w:pPr>
              <w:widowControl/>
              <w:shd w:val="clear"/>
              <w:snapToGrid w:val="0"/>
              <w:jc w:val="center"/>
              <w:rPr>
                <w:rFonts w:ascii="仿宋_GB2312" w:hAnsi="宋体" w:eastAsia="仿宋_GB2312" w:cs="仿宋_GB2312"/>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15"/>
                <w:szCs w:val="15"/>
                <w:u w:val="none"/>
                <w:lang w:val="en-US" w:eastAsia="zh-CN" w:bidi="ar"/>
              </w:rPr>
              <w:t>0%</w:t>
            </w:r>
          </w:p>
        </w:tc>
      </w:tr>
      <w:tr w14:paraId="4CF1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4EFC3710">
            <w:pPr>
              <w:widowControl/>
              <w:shd w:val="clear"/>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6554FD15">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5" w:type="dxa"/>
            <w:vMerge w:val="restart"/>
            <w:tcMar>
              <w:left w:w="57" w:type="dxa"/>
              <w:right w:w="57" w:type="dxa"/>
            </w:tcMar>
            <w:vAlign w:val="center"/>
          </w:tcPr>
          <w:p w14:paraId="11706F48">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707" w:type="dxa"/>
            <w:gridSpan w:val="2"/>
            <w:tcMar>
              <w:left w:w="57" w:type="dxa"/>
              <w:right w:w="57" w:type="dxa"/>
            </w:tcMar>
            <w:vAlign w:val="center"/>
          </w:tcPr>
          <w:p w14:paraId="4F09E9D8">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839" w:type="dxa"/>
            <w:tcMar>
              <w:left w:w="57" w:type="dxa"/>
              <w:right w:w="57" w:type="dxa"/>
            </w:tcMar>
            <w:vAlign w:val="center"/>
          </w:tcPr>
          <w:p w14:paraId="4D21596F">
            <w:pPr>
              <w:widowControl/>
              <w:shd w:val="clear"/>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0FFAC51E">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7C3E8B45">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3CEB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0AD81C8E">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081D64B">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55480FDF">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4FB3BB8C">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839" w:type="dxa"/>
            <w:tcMar>
              <w:left w:w="57" w:type="dxa"/>
              <w:right w:w="57" w:type="dxa"/>
            </w:tcMar>
            <w:vAlign w:val="center"/>
          </w:tcPr>
          <w:p w14:paraId="3602BB18">
            <w:pPr>
              <w:widowControl/>
              <w:shd w:val="clear"/>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D8FB2ED">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0A7EC2A3">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6F87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51EDEA96">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F0A110D">
            <w:pPr>
              <w:widowControl/>
              <w:shd w:val="clear"/>
              <w:snapToGrid w:val="0"/>
              <w:jc w:val="center"/>
              <w:rPr>
                <w:rFonts w:ascii="仿宋_GB2312" w:hAnsi="宋体" w:eastAsia="仿宋_GB2312"/>
                <w:color w:val="auto"/>
                <w:kern w:val="0"/>
                <w:highlight w:val="none"/>
              </w:rPr>
            </w:pPr>
          </w:p>
        </w:tc>
        <w:tc>
          <w:tcPr>
            <w:tcW w:w="1535" w:type="dxa"/>
            <w:vMerge w:val="restart"/>
            <w:tcMar>
              <w:left w:w="57" w:type="dxa"/>
              <w:right w:w="57" w:type="dxa"/>
            </w:tcMar>
            <w:vAlign w:val="center"/>
          </w:tcPr>
          <w:p w14:paraId="5B24522F">
            <w:pPr>
              <w:shd w:val="clea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707" w:type="dxa"/>
            <w:gridSpan w:val="2"/>
            <w:tcMar>
              <w:left w:w="57" w:type="dxa"/>
              <w:right w:w="57" w:type="dxa"/>
            </w:tcMar>
            <w:vAlign w:val="center"/>
          </w:tcPr>
          <w:p w14:paraId="13B91FCC">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839" w:type="dxa"/>
            <w:tcMar>
              <w:left w:w="57" w:type="dxa"/>
              <w:right w:w="57" w:type="dxa"/>
            </w:tcMar>
            <w:vAlign w:val="center"/>
          </w:tcPr>
          <w:p w14:paraId="051EF595">
            <w:pPr>
              <w:widowControl/>
              <w:shd w:val="clear"/>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1FAC9552">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7ED821E8">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625B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34D32256">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0166E6E">
            <w:pPr>
              <w:widowControl/>
              <w:shd w:val="clear"/>
              <w:snapToGrid w:val="0"/>
              <w:jc w:val="center"/>
              <w:rPr>
                <w:rFonts w:ascii="仿宋_GB2312" w:hAnsi="宋体" w:eastAsia="仿宋_GB2312"/>
                <w:color w:val="auto"/>
                <w:kern w:val="0"/>
                <w:highlight w:val="none"/>
              </w:rPr>
            </w:pPr>
          </w:p>
        </w:tc>
        <w:tc>
          <w:tcPr>
            <w:tcW w:w="1535" w:type="dxa"/>
            <w:vMerge w:val="continue"/>
            <w:tcMar>
              <w:left w:w="57" w:type="dxa"/>
              <w:right w:w="57" w:type="dxa"/>
            </w:tcMar>
            <w:vAlign w:val="center"/>
          </w:tcPr>
          <w:p w14:paraId="306FB243">
            <w:pPr>
              <w:widowControl/>
              <w:shd w:val="clear"/>
              <w:snapToGrid w:val="0"/>
              <w:jc w:val="center"/>
              <w:rPr>
                <w:rFonts w:hint="eastAsia" w:ascii="仿宋_GB2312" w:hAnsi="宋体" w:eastAsia="仿宋_GB2312" w:cs="仿宋_GB2312"/>
                <w:color w:val="auto"/>
                <w:kern w:val="0"/>
                <w:highlight w:val="none"/>
              </w:rPr>
            </w:pPr>
          </w:p>
        </w:tc>
        <w:tc>
          <w:tcPr>
            <w:tcW w:w="2707" w:type="dxa"/>
            <w:gridSpan w:val="2"/>
            <w:tcMar>
              <w:left w:w="57" w:type="dxa"/>
              <w:right w:w="57" w:type="dxa"/>
            </w:tcMar>
            <w:vAlign w:val="center"/>
          </w:tcPr>
          <w:p w14:paraId="7CA59680">
            <w:pPr>
              <w:widowControl/>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839" w:type="dxa"/>
            <w:tcMar>
              <w:left w:w="57" w:type="dxa"/>
              <w:right w:w="57" w:type="dxa"/>
            </w:tcMar>
            <w:vAlign w:val="center"/>
          </w:tcPr>
          <w:p w14:paraId="6FF8EBEC">
            <w:pPr>
              <w:widowControl/>
              <w:shd w:val="clear"/>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5C093D9B">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1225" w:type="dxa"/>
            <w:tcMar>
              <w:left w:w="57" w:type="dxa"/>
              <w:right w:w="57" w:type="dxa"/>
            </w:tcMar>
            <w:vAlign w:val="center"/>
          </w:tcPr>
          <w:p w14:paraId="6EF91C0C">
            <w:pPr>
              <w:widowControl/>
              <w:shd w:val="clear"/>
              <w:snapToGrid w:val="0"/>
              <w:jc w:val="center"/>
              <w:rPr>
                <w:rFonts w:ascii="仿宋_GB2312" w:hAnsi="宋体" w:eastAsia="仿宋_GB2312" w:cstheme="minorBidi"/>
                <w:color w:val="auto"/>
                <w:kern w:val="0"/>
                <w:sz w:val="21"/>
                <w:szCs w:val="22"/>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r>
      <w:tr w14:paraId="58AC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5D424A6B">
            <w:pPr>
              <w:widowControl/>
              <w:shd w:val="clear"/>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F3E71AC">
            <w:pPr>
              <w:widowControl/>
              <w:shd w:val="clear"/>
              <w:snapToGrid w:val="0"/>
              <w:jc w:val="center"/>
              <w:rPr>
                <w:rFonts w:ascii="仿宋_GB2312" w:hAnsi="宋体" w:eastAsia="仿宋_GB2312"/>
                <w:color w:val="auto"/>
                <w:kern w:val="0"/>
                <w:highlight w:val="none"/>
              </w:rPr>
            </w:pPr>
          </w:p>
        </w:tc>
        <w:tc>
          <w:tcPr>
            <w:tcW w:w="1535" w:type="dxa"/>
            <w:tcMar>
              <w:left w:w="57" w:type="dxa"/>
              <w:right w:w="57" w:type="dxa"/>
            </w:tcMar>
            <w:vAlign w:val="center"/>
          </w:tcPr>
          <w:p w14:paraId="61842072">
            <w:pPr>
              <w:shd w:val="clea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707" w:type="dxa"/>
            <w:gridSpan w:val="2"/>
            <w:tcMar>
              <w:left w:w="57" w:type="dxa"/>
              <w:right w:w="57" w:type="dxa"/>
            </w:tcMar>
            <w:vAlign w:val="center"/>
          </w:tcPr>
          <w:p w14:paraId="2F112DAA">
            <w:pPr>
              <w:widowControl/>
              <w:shd w:val="clear"/>
              <w:snapToGrid w:val="0"/>
              <w:jc w:val="center"/>
              <w:rPr>
                <w:rFonts w:ascii="仿宋_GB2312" w:hAnsi="宋体" w:eastAsia="仿宋_GB2312" w:cs="仿宋_GB2312"/>
                <w:color w:val="auto"/>
                <w:kern w:val="0"/>
                <w:highlight w:val="none"/>
              </w:rPr>
            </w:pPr>
          </w:p>
        </w:tc>
        <w:tc>
          <w:tcPr>
            <w:tcW w:w="839" w:type="dxa"/>
            <w:tcMar>
              <w:left w:w="57" w:type="dxa"/>
              <w:right w:w="57" w:type="dxa"/>
            </w:tcMar>
            <w:vAlign w:val="center"/>
          </w:tcPr>
          <w:p w14:paraId="1D534594">
            <w:pPr>
              <w:widowControl/>
              <w:shd w:val="clear"/>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1C557A03">
            <w:pPr>
              <w:widowControl/>
              <w:shd w:val="clear"/>
              <w:snapToGrid w:val="0"/>
              <w:jc w:val="center"/>
              <w:rPr>
                <w:rFonts w:ascii="仿宋_GB2312" w:hAnsi="宋体" w:eastAsia="仿宋_GB2312" w:cstheme="minorBidi"/>
                <w:color w:val="auto"/>
                <w:kern w:val="0"/>
                <w:sz w:val="21"/>
                <w:szCs w:val="22"/>
                <w:highlight w:val="none"/>
                <w:lang w:val="en-US" w:eastAsia="zh-CN" w:bidi="ar-SA"/>
              </w:rPr>
            </w:pPr>
          </w:p>
        </w:tc>
        <w:tc>
          <w:tcPr>
            <w:tcW w:w="1225" w:type="dxa"/>
            <w:tcMar>
              <w:left w:w="57" w:type="dxa"/>
              <w:right w:w="57" w:type="dxa"/>
            </w:tcMar>
            <w:vAlign w:val="center"/>
          </w:tcPr>
          <w:p w14:paraId="6BC6D019">
            <w:pPr>
              <w:widowControl/>
              <w:shd w:val="clear"/>
              <w:snapToGrid w:val="0"/>
              <w:jc w:val="center"/>
              <w:rPr>
                <w:rFonts w:ascii="仿宋_GB2312" w:hAnsi="宋体" w:eastAsia="仿宋_GB2312" w:cstheme="minorBidi"/>
                <w:color w:val="auto"/>
                <w:kern w:val="0"/>
                <w:sz w:val="21"/>
                <w:szCs w:val="22"/>
                <w:highlight w:val="none"/>
                <w:lang w:val="en-US" w:eastAsia="zh-CN" w:bidi="ar-SA"/>
              </w:rPr>
            </w:pPr>
          </w:p>
        </w:tc>
      </w:tr>
      <w:tr w14:paraId="392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dxa"/>
            <w:vMerge w:val="continue"/>
            <w:tcMar>
              <w:left w:w="57" w:type="dxa"/>
              <w:right w:w="57" w:type="dxa"/>
            </w:tcMar>
            <w:vAlign w:val="center"/>
          </w:tcPr>
          <w:p w14:paraId="3255DDDC">
            <w:pPr>
              <w:widowControl/>
              <w:shd w:val="clear"/>
              <w:snapToGrid w:val="0"/>
              <w:jc w:val="left"/>
              <w:rPr>
                <w:rFonts w:ascii="仿宋_GB2312" w:hAnsi="宋体" w:eastAsia="仿宋_GB2312"/>
                <w:color w:val="auto"/>
                <w:kern w:val="0"/>
                <w:highlight w:val="none"/>
              </w:rPr>
            </w:pPr>
          </w:p>
        </w:tc>
        <w:tc>
          <w:tcPr>
            <w:tcW w:w="979" w:type="dxa"/>
            <w:tcMar>
              <w:left w:w="57" w:type="dxa"/>
              <w:right w:w="57" w:type="dxa"/>
            </w:tcMar>
            <w:vAlign w:val="center"/>
          </w:tcPr>
          <w:p w14:paraId="1160F385">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5" w:type="dxa"/>
            <w:tcMar>
              <w:left w:w="57" w:type="dxa"/>
              <w:right w:w="57" w:type="dxa"/>
            </w:tcMar>
            <w:vAlign w:val="center"/>
          </w:tcPr>
          <w:p w14:paraId="49B2C5AA">
            <w:pPr>
              <w:keepNext w:val="0"/>
              <w:keepLines w:val="0"/>
              <w:widowControl/>
              <w:suppressLineNumbers w:val="0"/>
              <w:shd w:val="clear"/>
              <w:jc w:val="center"/>
              <w:textAlignment w:val="center"/>
              <w:rPr>
                <w:rFonts w:hint="default"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服务对象满意度</w:t>
            </w:r>
          </w:p>
        </w:tc>
        <w:tc>
          <w:tcPr>
            <w:tcW w:w="2707" w:type="dxa"/>
            <w:gridSpan w:val="2"/>
            <w:tcMar>
              <w:left w:w="57" w:type="dxa"/>
              <w:right w:w="57" w:type="dxa"/>
            </w:tcMar>
            <w:vAlign w:val="center"/>
          </w:tcPr>
          <w:p w14:paraId="264C6C2B">
            <w:pPr>
              <w:keepNext w:val="0"/>
              <w:keepLines w:val="0"/>
              <w:widowControl/>
              <w:suppressLineNumbers w:val="0"/>
              <w:shd w:val="clear"/>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i w:val="0"/>
                <w:iCs w:val="0"/>
                <w:color w:val="000000"/>
                <w:kern w:val="0"/>
                <w:sz w:val="15"/>
                <w:szCs w:val="15"/>
                <w:u w:val="none"/>
                <w:lang w:val="en-US" w:eastAsia="zh-CN" w:bidi="ar"/>
              </w:rPr>
              <w:t>服务对象满意度</w:t>
            </w:r>
          </w:p>
        </w:tc>
        <w:tc>
          <w:tcPr>
            <w:tcW w:w="839" w:type="dxa"/>
            <w:tcMar>
              <w:left w:w="57" w:type="dxa"/>
              <w:right w:w="57" w:type="dxa"/>
            </w:tcMar>
            <w:vAlign w:val="center"/>
          </w:tcPr>
          <w:p w14:paraId="4CC138A9">
            <w:pPr>
              <w:widowControl/>
              <w:shd w:val="clear"/>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3F85C84A">
            <w:pPr>
              <w:widowControl/>
              <w:shd w:val="clear"/>
              <w:snapToGrid w:val="0"/>
              <w:jc w:val="center"/>
              <w:rPr>
                <w:rFonts w:ascii="仿宋_GB2312" w:hAnsi="宋体" w:eastAsia="仿宋_GB2312" w:cs="仿宋_GB2312"/>
                <w:color w:val="auto"/>
                <w:kern w:val="0"/>
                <w:highlight w:val="none"/>
              </w:rPr>
            </w:pPr>
            <w:r>
              <w:rPr>
                <w:rFonts w:hint="default" w:ascii="仿宋_GB2312" w:hAnsi="宋体" w:eastAsia="仿宋_GB2312" w:cs="仿宋_GB2312"/>
                <w:i w:val="0"/>
                <w:iCs w:val="0"/>
                <w:color w:val="000000"/>
                <w:kern w:val="0"/>
                <w:sz w:val="15"/>
                <w:szCs w:val="15"/>
                <w:u w:val="none"/>
                <w:lang w:val="en-US" w:eastAsia="zh-CN" w:bidi="ar"/>
              </w:rPr>
              <w:t>100%</w:t>
            </w:r>
          </w:p>
        </w:tc>
        <w:tc>
          <w:tcPr>
            <w:tcW w:w="1225" w:type="dxa"/>
            <w:tcMar>
              <w:left w:w="57" w:type="dxa"/>
              <w:right w:w="57" w:type="dxa"/>
            </w:tcMar>
            <w:vAlign w:val="center"/>
          </w:tcPr>
          <w:p w14:paraId="5C7514E9">
            <w:pPr>
              <w:widowControl/>
              <w:shd w:val="clear"/>
              <w:snapToGrid w:val="0"/>
              <w:jc w:val="center"/>
              <w:rPr>
                <w:rFonts w:ascii="仿宋_GB2312" w:hAnsi="宋体" w:eastAsia="仿宋_GB2312" w:cs="仿宋_GB2312"/>
                <w:color w:val="auto"/>
                <w:kern w:val="0"/>
                <w:highlight w:val="none"/>
              </w:rPr>
            </w:pPr>
            <w:r>
              <w:rPr>
                <w:rFonts w:hint="default" w:ascii="仿宋_GB2312" w:hAnsi="宋体" w:eastAsia="仿宋_GB2312" w:cs="仿宋_GB2312"/>
                <w:i w:val="0"/>
                <w:iCs w:val="0"/>
                <w:color w:val="000000"/>
                <w:kern w:val="0"/>
                <w:sz w:val="15"/>
                <w:szCs w:val="15"/>
                <w:u w:val="none"/>
                <w:lang w:val="en-US" w:eastAsia="zh-CN" w:bidi="ar"/>
              </w:rPr>
              <w:t>100%</w:t>
            </w:r>
          </w:p>
        </w:tc>
      </w:tr>
      <w:tr w14:paraId="4F01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6C69CBAC">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628F6D7C">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4A02D4B6">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51206F72">
            <w:pPr>
              <w:widowControl/>
              <w:shd w:val="clear"/>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实际在岗人数超编制人数。自然资源局机构改革事多、事杂，机关工作人员不够，聘用人员较多，大部分在职在编人员没有纳及财政经费统一管理。</w:t>
            </w:r>
          </w:p>
          <w:p w14:paraId="60F2F4EA">
            <w:pPr>
              <w:widowControl/>
              <w:shd w:val="clear"/>
              <w:snapToGrid w:val="0"/>
              <w:jc w:val="center"/>
              <w:rPr>
                <w:rFonts w:ascii="仿宋_GB2312" w:hAnsi="宋体" w:eastAsia="仿宋_GB2312" w:cs="仿宋_GB2312"/>
                <w:color w:val="auto"/>
                <w:kern w:val="0"/>
                <w:highlight w:val="none"/>
              </w:rPr>
            </w:pPr>
          </w:p>
        </w:tc>
      </w:tr>
      <w:tr w14:paraId="013E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0B573CD9">
            <w:pPr>
              <w:widowControl/>
              <w:shd w:val="clear"/>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5ECE4404">
            <w:pPr>
              <w:widowControl/>
              <w:shd w:val="clear"/>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3377760F">
            <w:pPr>
              <w:widowControl/>
              <w:shd w:val="clear"/>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充分与市区沟通，加大在职在编工作人员纳入财政工作进程，便于做好预算编制，力争科学安排单位项目，积极加强绩效管理工作。</w:t>
            </w:r>
          </w:p>
        </w:tc>
      </w:tr>
    </w:tbl>
    <w:p w14:paraId="5ACFB393">
      <w:pPr>
        <w:widowControl/>
        <w:shd w:val="clea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25AC1D4F">
      <w:pPr>
        <w:widowControl/>
        <w:shd w:val="clear"/>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48ADB0B6">
      <w:pPr>
        <w:widowControl/>
        <w:shd w:val="clear"/>
        <w:ind w:firstLine="400" w:firstLineChars="200"/>
        <w:rPr>
          <w:rFonts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7490D96B">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39277FF">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D04A4D1">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905B5CC">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63F86BA">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D75D3CA">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C0DE86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17563E6">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830AFD0">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58CA084">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E45477B">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C2E7E2E">
      <w:pPr>
        <w:keepNext w:val="0"/>
        <w:keepLines w:val="0"/>
        <w:pageBreakBefore w:val="0"/>
        <w:widowControl w:val="0"/>
        <w:shd w:val="clear"/>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895B487">
      <w:pPr>
        <w:spacing w:line="269" w:lineRule="auto"/>
        <w:rPr>
          <w:rFonts w:ascii="Arial"/>
          <w:color w:val="auto"/>
          <w:sz w:val="21"/>
        </w:rPr>
      </w:pPr>
    </w:p>
    <w:p w14:paraId="171156D4">
      <w:pPr>
        <w:spacing w:line="270" w:lineRule="auto"/>
        <w:rPr>
          <w:rFonts w:ascii="Arial"/>
          <w:color w:val="auto"/>
          <w:sz w:val="21"/>
        </w:rPr>
      </w:pPr>
    </w:p>
    <w:p w14:paraId="3474539F">
      <w:pPr>
        <w:rPr>
          <w:rFonts w:ascii="Arial"/>
          <w:color w:val="auto"/>
          <w:sz w:val="21"/>
        </w:rPr>
      </w:pPr>
    </w:p>
    <w:sectPr>
      <w:footerReference r:id="rId15" w:type="default"/>
      <w:pgSz w:w="11906" w:h="16839"/>
      <w:pgMar w:top="566" w:right="574" w:bottom="1156" w:left="717" w:header="0" w:footer="99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5D87">
    <w:pPr>
      <w:spacing w:line="176" w:lineRule="auto"/>
      <w:ind w:left="48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36DC">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3ECA">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36B0">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4332">
    <w:pPr>
      <w:spacing w:line="176" w:lineRule="auto"/>
      <w:ind w:left="481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F0AE">
    <w:pPr>
      <w:spacing w:line="173" w:lineRule="auto"/>
      <w:ind w:left="545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78607">
    <w:pPr>
      <w:spacing w:line="176" w:lineRule="auto"/>
      <w:ind w:left="484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B216">
    <w:pPr>
      <w:spacing w:line="176" w:lineRule="auto"/>
      <w:ind w:left="481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8A8A">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8C8F">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9D6D">
    <w:pPr>
      <w:spacing w:line="176" w:lineRule="auto"/>
      <w:ind w:left="47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85709"/>
    <w:multiLevelType w:val="singleLevel"/>
    <w:tmpl w:val="A3B85709"/>
    <w:lvl w:ilvl="0" w:tentative="0">
      <w:start w:val="4"/>
      <w:numFmt w:val="chineseCounting"/>
      <w:suff w:val="nothing"/>
      <w:lvlText w:val="%1、"/>
      <w:lvlJc w:val="left"/>
      <w:rPr>
        <w:rFonts w:hint="eastAsia"/>
      </w:rPr>
    </w:lvl>
  </w:abstractNum>
  <w:abstractNum w:abstractNumId="1">
    <w:nsid w:val="EC7B6F38"/>
    <w:multiLevelType w:val="singleLevel"/>
    <w:tmpl w:val="EC7B6F38"/>
    <w:lvl w:ilvl="0" w:tentative="0">
      <w:start w:val="3"/>
      <w:numFmt w:val="chineseCounting"/>
      <w:suff w:val="space"/>
      <w:lvlText w:val="第%1部分"/>
      <w:lvlJc w:val="left"/>
      <w:rPr>
        <w:rFonts w:hint="eastAsia"/>
      </w:rPr>
    </w:lvl>
  </w:abstractNum>
  <w:abstractNum w:abstractNumId="2">
    <w:nsid w:val="3DF0F155"/>
    <w:multiLevelType w:val="singleLevel"/>
    <w:tmpl w:val="3DF0F155"/>
    <w:lvl w:ilvl="0" w:tentative="0">
      <w:start w:val="14"/>
      <w:numFmt w:val="chineseCounting"/>
      <w:suff w:val="nothing"/>
      <w:lvlText w:val="%1、"/>
      <w:lvlJc w:val="left"/>
      <w:rPr>
        <w:rFonts w:hint="eastAsia"/>
      </w:rPr>
    </w:lvl>
  </w:abstractNum>
  <w:abstractNum w:abstractNumId="3">
    <w:nsid w:val="4B58CA70"/>
    <w:multiLevelType w:val="singleLevel"/>
    <w:tmpl w:val="4B58CA70"/>
    <w:lvl w:ilvl="0" w:tentative="0">
      <w:start w:val="10"/>
      <w:numFmt w:val="chineseCounting"/>
      <w:suff w:val="nothing"/>
      <w:lvlText w:val="%1、"/>
      <w:lvlJc w:val="left"/>
      <w:rPr>
        <w:rFonts w:hint="eastAsia"/>
      </w:rPr>
    </w:lvl>
  </w:abstractNum>
  <w:abstractNum w:abstractNumId="4">
    <w:nsid w:val="78381E9D"/>
    <w:multiLevelType w:val="singleLevel"/>
    <w:tmpl w:val="78381E9D"/>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3ZGY0YjRhZTU2MWUxZTY0ZjRjMTFiNDEwZTZmY2MifQ=="/>
  </w:docVars>
  <w:rsids>
    <w:rsidRoot w:val="00000000"/>
    <w:rsid w:val="01E34D25"/>
    <w:rsid w:val="03395C8A"/>
    <w:rsid w:val="03CE5F43"/>
    <w:rsid w:val="040973EC"/>
    <w:rsid w:val="05A36F5B"/>
    <w:rsid w:val="0C43294A"/>
    <w:rsid w:val="156D6C3E"/>
    <w:rsid w:val="185506D7"/>
    <w:rsid w:val="18984656"/>
    <w:rsid w:val="1ACF0441"/>
    <w:rsid w:val="1DD831CA"/>
    <w:rsid w:val="1E5C38AE"/>
    <w:rsid w:val="1FD2028B"/>
    <w:rsid w:val="1FE13DD3"/>
    <w:rsid w:val="25A91F14"/>
    <w:rsid w:val="26445799"/>
    <w:rsid w:val="271138CD"/>
    <w:rsid w:val="278836B6"/>
    <w:rsid w:val="27F136FF"/>
    <w:rsid w:val="2FA06136"/>
    <w:rsid w:val="33022C64"/>
    <w:rsid w:val="335562D0"/>
    <w:rsid w:val="351C305B"/>
    <w:rsid w:val="354B6B44"/>
    <w:rsid w:val="464F7B16"/>
    <w:rsid w:val="4BEC2BA0"/>
    <w:rsid w:val="4E0E31BD"/>
    <w:rsid w:val="4E4168DE"/>
    <w:rsid w:val="4FD77C0B"/>
    <w:rsid w:val="50ED6BF7"/>
    <w:rsid w:val="52506060"/>
    <w:rsid w:val="54B03E76"/>
    <w:rsid w:val="550F5041"/>
    <w:rsid w:val="55CF4A90"/>
    <w:rsid w:val="56222B52"/>
    <w:rsid w:val="563156E9"/>
    <w:rsid w:val="57952240"/>
    <w:rsid w:val="59D40593"/>
    <w:rsid w:val="5AE12747"/>
    <w:rsid w:val="5EB033F0"/>
    <w:rsid w:val="5F6B7317"/>
    <w:rsid w:val="61AF3E33"/>
    <w:rsid w:val="62302306"/>
    <w:rsid w:val="65FF2565"/>
    <w:rsid w:val="674B755D"/>
    <w:rsid w:val="68752FB5"/>
    <w:rsid w:val="68F264B9"/>
    <w:rsid w:val="698F00A6"/>
    <w:rsid w:val="6AC36259"/>
    <w:rsid w:val="70AB3A18"/>
    <w:rsid w:val="71BB4EF8"/>
    <w:rsid w:val="7220758D"/>
    <w:rsid w:val="736425A4"/>
    <w:rsid w:val="75A03D67"/>
    <w:rsid w:val="79A80050"/>
    <w:rsid w:val="7A187C44"/>
    <w:rsid w:val="7C641A7C"/>
    <w:rsid w:val="7F4B7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黑体" w:hAnsi="黑体" w:eastAsia="黑体" w:cs="黑体"/>
      <w:sz w:val="31"/>
      <w:szCs w:val="31"/>
      <w:lang w:val="en-US" w:eastAsia="en-US" w:bidi="ar-SA"/>
    </w:rPr>
  </w:style>
  <w:style w:type="paragraph" w:styleId="3">
    <w:name w:val="toc 5"/>
    <w:basedOn w:val="1"/>
    <w:next w:val="1"/>
    <w:qFormat/>
    <w:uiPriority w:val="0"/>
    <w:pPr>
      <w:ind w:left="168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hart" Target="charts/chart3.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82287822878"/>
          <c:y val="0.0641466208476518"/>
          <c:w val="0.796369003690037"/>
          <c:h val="0.735028636884307"/>
        </c:manualLayout>
      </c:layout>
      <c:barChart>
        <c:barDir val="col"/>
        <c:grouping val="clustered"/>
        <c:varyColors val="0"/>
        <c:ser>
          <c:idx val="0"/>
          <c:order val="0"/>
          <c:tx>
            <c:strRef>
              <c:f>[工作簿1]Sheet1!$C$7</c:f>
              <c:strCache>
                <c:ptCount val="1"/>
                <c:pt idx="0">
                  <c:v>收支总计（万元）</c:v>
                </c:pt>
              </c:strCache>
            </c:strRef>
          </c:tx>
          <c:spPr>
            <a:solidFill>
              <a:schemeClr val="accent1"/>
            </a:solidFill>
            <a:ln>
              <a:noFill/>
            </a:ln>
            <a:effectLst/>
          </c:spPr>
          <c:invertIfNegative val="0"/>
          <c:dLbls>
            <c:delete val="1"/>
          </c:dLbls>
          <c:cat>
            <c:strRef>
              <c:f>[工作簿1]Sheet1!$B$8:$B$23</c:f>
              <c:strCache>
                <c:ptCount val="16"/>
                <c:pt idx="2">
                  <c:v>2022年度</c:v>
                </c:pt>
                <c:pt idx="6">
                  <c:v>2023年度</c:v>
                </c:pt>
              </c:strCache>
            </c:strRef>
          </c:cat>
          <c:val>
            <c:numRef>
              <c:f>[工作簿1]Sheet1!$C$8:$C$23</c:f>
              <c:numCache>
                <c:formatCode>General</c:formatCode>
                <c:ptCount val="16"/>
                <c:pt idx="2">
                  <c:v>1626.78</c:v>
                </c:pt>
                <c:pt idx="6">
                  <c:v>2093.08</c:v>
                </c:pt>
              </c:numCache>
            </c:numRef>
          </c:val>
        </c:ser>
        <c:dLbls>
          <c:showLegendKey val="0"/>
          <c:showVal val="0"/>
          <c:showCatName val="0"/>
          <c:showSerName val="0"/>
          <c:showPercent val="0"/>
          <c:showBubbleSize val="0"/>
        </c:dLbls>
        <c:gapWidth val="222"/>
        <c:overlap val="-41"/>
        <c:axId val="761780733"/>
        <c:axId val="25105474"/>
      </c:barChart>
      <c:catAx>
        <c:axId val="7617807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05474"/>
        <c:crosses val="autoZero"/>
        <c:auto val="1"/>
        <c:lblAlgn val="ctr"/>
        <c:lblOffset val="100"/>
        <c:noMultiLvlLbl val="0"/>
      </c:catAx>
      <c:valAx>
        <c:axId val="251054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17807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ce7e13-5d1f-4abb-91cf-73e3fe0bafc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70"/>
      <c:rAngAx val="0"/>
    </c:view3D>
    <c:floor>
      <c:thickness val="0"/>
    </c:floor>
    <c:sideWall>
      <c:thickness val="0"/>
    </c:sideWall>
    <c:backWall>
      <c:thickness val="0"/>
    </c:backWall>
    <c:plotArea>
      <c:layout>
        <c:manualLayout>
          <c:layoutTarget val="inner"/>
          <c:xMode val="edge"/>
          <c:yMode val="edge"/>
          <c:x val="0.020906833921338"/>
          <c:y val="0.145534729878721"/>
          <c:w val="0.955180974781132"/>
          <c:h val="0.727673649393605"/>
        </c:manualLayout>
      </c:layout>
      <c:pie3DChart>
        <c:varyColors val="1"/>
        <c:ser>
          <c:idx val="0"/>
          <c:order val="0"/>
          <c:spPr>
            <a:ln w="12700">
              <a:solidFill>
                <a:schemeClr val="bg1">
                  <a:lumMod val="95000"/>
                </a:schemeClr>
              </a:solidFill>
            </a:ln>
            <a:scene3d>
              <a:camera prst="orthographicFront"/>
              <a:lightRig rig="threePt" dir="t"/>
            </a:scene3d>
            <a:sp3d contourW="12700"/>
          </c:spPr>
          <c:explosion val="0"/>
          <c:dPt>
            <c:idx val="0"/>
            <c:bubble3D val="0"/>
            <c:spPr>
              <a:solidFill>
                <a:schemeClr val="accent1"/>
              </a:solidFill>
              <a:ln w="12700">
                <a:solidFill>
                  <a:schemeClr val="bg1">
                    <a:lumMod val="95000"/>
                  </a:schemeClr>
                </a:solidFill>
              </a:ln>
              <a:effectLst/>
              <a:scene3d>
                <a:camera prst="orthographicFront"/>
                <a:lightRig rig="threePt" dir="t"/>
              </a:scene3d>
              <a:sp3d contourW="12700"/>
            </c:spPr>
          </c:dPt>
          <c:dPt>
            <c:idx val="1"/>
            <c:bubble3D val="0"/>
            <c:spPr>
              <a:solidFill>
                <a:schemeClr val="accent2"/>
              </a:solidFill>
              <a:ln w="12700">
                <a:solidFill>
                  <a:schemeClr val="bg1">
                    <a:lumMod val="95000"/>
                  </a:schemeClr>
                </a:solidFill>
              </a:ln>
              <a:effectLst/>
              <a:scene3d>
                <a:camera prst="orthographicFront"/>
                <a:lightRig rig="threePt" dir="t"/>
              </a:scene3d>
              <a:sp3d contourW="12700"/>
            </c:spPr>
          </c:dPt>
          <c:dPt>
            <c:idx val="2"/>
            <c:bubble3D val="0"/>
            <c:spPr>
              <a:solidFill>
                <a:schemeClr val="accent3"/>
              </a:solidFill>
              <a:ln w="12700">
                <a:solidFill>
                  <a:schemeClr val="bg1">
                    <a:lumMod val="95000"/>
                  </a:schemeClr>
                </a:solidFill>
              </a:ln>
              <a:effectLst/>
              <a:scene3d>
                <a:camera prst="orthographicFront"/>
                <a:lightRig rig="threePt" dir="t"/>
              </a:scene3d>
              <a:sp3d contourW="12700"/>
            </c:spPr>
          </c:dPt>
          <c:dPt>
            <c:idx val="3"/>
            <c:bubble3D val="0"/>
            <c:spPr>
              <a:solidFill>
                <a:schemeClr val="accent4"/>
              </a:solidFill>
              <a:ln w="12700">
                <a:solidFill>
                  <a:schemeClr val="bg1">
                    <a:lumMod val="95000"/>
                  </a:schemeClr>
                </a:solidFill>
              </a:ln>
              <a:effectLst/>
              <a:scene3d>
                <a:camera prst="orthographicFront"/>
                <a:lightRig rig="threePt" dir="t"/>
              </a:scene3d>
              <a:sp3d contourW="12700"/>
            </c:spPr>
          </c:dPt>
          <c:dPt>
            <c:idx val="4"/>
            <c:bubble3D val="0"/>
            <c:spPr>
              <a:solidFill>
                <a:schemeClr val="accent5">
                  <a:shade val="76667"/>
                </a:schemeClr>
              </a:solidFill>
              <a:ln w="12700">
                <a:solidFill>
                  <a:schemeClr val="bg1">
                    <a:lumMod val="95000"/>
                  </a:schemeClr>
                </a:solidFill>
              </a:ln>
              <a:effectLst/>
              <a:scene3d>
                <a:camera prst="orthographicFront"/>
                <a:lightRig rig="threePt" dir="t"/>
              </a:scene3d>
              <a:sp3d contourW="12700"/>
            </c:spPr>
          </c:dPt>
          <c:dPt>
            <c:idx val="5"/>
            <c:bubble3D val="0"/>
            <c:spPr>
              <a:solidFill>
                <a:schemeClr val="accent6"/>
              </a:solidFill>
              <a:ln w="12700">
                <a:solidFill>
                  <a:schemeClr val="bg1">
                    <a:lumMod val="95000"/>
                  </a:schemeClr>
                </a:solidFill>
              </a:ln>
              <a:effectLst/>
              <a:scene3d>
                <a:camera prst="orthographicFront"/>
                <a:lightRig rig="threePt" dir="t"/>
              </a:scene3d>
              <a:sp3d contourW="12700"/>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[工作簿1]Sheet1!$B$56:$B$61</c:f>
              <c:strCache>
                <c:ptCount val="6"/>
                <c:pt idx="0">
                  <c:v>财政拨款收入</c:v>
                </c:pt>
                <c:pt idx="1">
                  <c:v>上级补助收入</c:v>
                </c:pt>
                <c:pt idx="2">
                  <c:v>事业收入</c:v>
                </c:pt>
                <c:pt idx="3">
                  <c:v>经营收入 </c:v>
                </c:pt>
                <c:pt idx="4">
                  <c:v>附属单位上缴收入</c:v>
                </c:pt>
                <c:pt idx="5">
                  <c:v>其他收入</c:v>
                </c:pt>
              </c:strCache>
            </c:strRef>
          </c:cat>
          <c:val>
            <c:numRef>
              <c:f>[工作簿1]Sheet1!$C$56:$C$61</c:f>
              <c:numCache>
                <c:formatCode>0%</c:formatCode>
                <c:ptCount val="6"/>
                <c:pt idx="0">
                  <c:v>0.38</c:v>
                </c:pt>
                <c:pt idx="5">
                  <c:v>0.62</c:v>
                </c:pt>
              </c:numCache>
            </c:numRef>
          </c:val>
        </c:ser>
        <c:ser>
          <c:idx val="1"/>
          <c:order val="1"/>
          <c:spPr>
            <a:ln w="12700">
              <a:solidFill>
                <a:schemeClr val="bg1">
                  <a:lumMod val="95000"/>
                </a:schemeClr>
              </a:solidFill>
            </a:ln>
            <a:scene3d>
              <a:camera prst="orthographicFront"/>
              <a:lightRig rig="threePt" dir="t"/>
            </a:scene3d>
            <a:sp3d contourW="12700"/>
          </c:spPr>
          <c:explosion val="0"/>
          <c:dPt>
            <c:idx val="0"/>
            <c:bubble3D val="0"/>
            <c:spPr>
              <a:solidFill>
                <a:schemeClr val="accent1"/>
              </a:solidFill>
              <a:ln w="12700">
                <a:solidFill>
                  <a:schemeClr val="bg1">
                    <a:lumMod val="95000"/>
                  </a:schemeClr>
                </a:solidFill>
              </a:ln>
              <a:effectLst/>
              <a:scene3d>
                <a:camera prst="orthographicFront"/>
                <a:lightRig rig="threePt" dir="t"/>
              </a:scene3d>
              <a:sp3d contourW="12700"/>
            </c:spPr>
          </c:dPt>
          <c:dPt>
            <c:idx val="1"/>
            <c:bubble3D val="0"/>
            <c:spPr>
              <a:solidFill>
                <a:schemeClr val="accent2"/>
              </a:solidFill>
              <a:ln w="12700">
                <a:solidFill>
                  <a:schemeClr val="bg1">
                    <a:lumMod val="95000"/>
                  </a:schemeClr>
                </a:solidFill>
              </a:ln>
              <a:effectLst/>
              <a:scene3d>
                <a:camera prst="orthographicFront"/>
                <a:lightRig rig="threePt" dir="t"/>
              </a:scene3d>
              <a:sp3d contourW="12700"/>
            </c:spPr>
          </c:dPt>
          <c:dPt>
            <c:idx val="2"/>
            <c:bubble3D val="0"/>
            <c:spPr>
              <a:solidFill>
                <a:schemeClr val="accent3"/>
              </a:solidFill>
              <a:ln w="12700">
                <a:solidFill>
                  <a:schemeClr val="bg1">
                    <a:lumMod val="95000"/>
                  </a:schemeClr>
                </a:solidFill>
              </a:ln>
              <a:effectLst/>
              <a:scene3d>
                <a:camera prst="orthographicFront"/>
                <a:lightRig rig="threePt" dir="t"/>
              </a:scene3d>
              <a:sp3d contourW="12700"/>
            </c:spPr>
          </c:dPt>
          <c:dPt>
            <c:idx val="3"/>
            <c:bubble3D val="0"/>
            <c:spPr>
              <a:solidFill>
                <a:schemeClr val="accent4"/>
              </a:solidFill>
              <a:ln w="12700">
                <a:solidFill>
                  <a:schemeClr val="bg1">
                    <a:lumMod val="95000"/>
                  </a:schemeClr>
                </a:solidFill>
              </a:ln>
              <a:effectLst/>
              <a:scene3d>
                <a:camera prst="orthographicFront"/>
                <a:lightRig rig="threePt" dir="t"/>
              </a:scene3d>
              <a:sp3d contourW="127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{4.3,2.5,3.5,4.5}</c:f>
              <c:numCache>
                <c:formatCode>General</c:formatCode>
                <c:ptCount val="4"/>
                <c:pt idx="0">
                  <c:v>4.3</c:v>
                </c:pt>
                <c:pt idx="1">
                  <c:v>2.5</c:v>
                </c:pt>
                <c:pt idx="2">
                  <c:v>3.5</c:v>
                </c:pt>
                <c:pt idx="3">
                  <c:v>4.5</c:v>
                </c:pt>
              </c:numCache>
            </c:numRef>
          </c:val>
        </c:ser>
        <c:ser>
          <c:idx val="2"/>
          <c:order val="2"/>
          <c:spPr>
            <a:ln w="12700">
              <a:solidFill>
                <a:schemeClr val="bg1">
                  <a:lumMod val="95000"/>
                </a:schemeClr>
              </a:solidFill>
            </a:ln>
            <a:scene3d>
              <a:camera prst="orthographicFront"/>
              <a:lightRig rig="threePt" dir="t"/>
            </a:scene3d>
            <a:sp3d contourW="12700"/>
          </c:spPr>
          <c:explosion val="0"/>
          <c:dPt>
            <c:idx val="0"/>
            <c:bubble3D val="0"/>
            <c:spPr>
              <a:solidFill>
                <a:schemeClr val="accent1"/>
              </a:solidFill>
              <a:ln w="12700">
                <a:solidFill>
                  <a:schemeClr val="bg1">
                    <a:lumMod val="95000"/>
                  </a:schemeClr>
                </a:solidFill>
              </a:ln>
              <a:effectLst/>
              <a:scene3d>
                <a:camera prst="orthographicFront"/>
                <a:lightRig rig="threePt" dir="t"/>
              </a:scene3d>
              <a:sp3d contourW="12700"/>
            </c:spPr>
          </c:dPt>
          <c:dPt>
            <c:idx val="1"/>
            <c:bubble3D val="0"/>
            <c:spPr>
              <a:solidFill>
                <a:schemeClr val="accent2"/>
              </a:solidFill>
              <a:ln w="12700">
                <a:solidFill>
                  <a:schemeClr val="bg1">
                    <a:lumMod val="95000"/>
                  </a:schemeClr>
                </a:solidFill>
              </a:ln>
              <a:effectLst/>
              <a:scene3d>
                <a:camera prst="orthographicFront"/>
                <a:lightRig rig="threePt" dir="t"/>
              </a:scene3d>
              <a:sp3d contourW="12700"/>
            </c:spPr>
          </c:dPt>
          <c:dPt>
            <c:idx val="2"/>
            <c:bubble3D val="0"/>
            <c:spPr>
              <a:solidFill>
                <a:schemeClr val="accent3"/>
              </a:solidFill>
              <a:ln w="12700">
                <a:solidFill>
                  <a:schemeClr val="bg1">
                    <a:lumMod val="95000"/>
                  </a:schemeClr>
                </a:solidFill>
              </a:ln>
              <a:effectLst/>
              <a:scene3d>
                <a:camera prst="orthographicFront"/>
                <a:lightRig rig="threePt" dir="t"/>
              </a:scene3d>
              <a:sp3d contourW="12700"/>
            </c:spPr>
          </c:dPt>
          <c:dPt>
            <c:idx val="3"/>
            <c:bubble3D val="0"/>
            <c:spPr>
              <a:solidFill>
                <a:schemeClr val="accent4"/>
              </a:solidFill>
              <a:ln w="12700">
                <a:solidFill>
                  <a:schemeClr val="bg1">
                    <a:lumMod val="95000"/>
                  </a:schemeClr>
                </a:solidFill>
              </a:ln>
              <a:effectLst/>
              <a:scene3d>
                <a:camera prst="orthographicFront"/>
                <a:lightRig rig="threePt" dir="t"/>
              </a:scene3d>
              <a:sp3d contourW="127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{2.4,4.4,1.8,2.8}</c:f>
              <c:numCache>
                <c:formatCode>General</c:formatCode>
                <c:ptCount val="4"/>
                <c:pt idx="0">
                  <c:v>2.4</c:v>
                </c:pt>
                <c:pt idx="1">
                  <c:v>4.4</c:v>
                </c:pt>
                <c:pt idx="2">
                  <c:v>1.8</c:v>
                </c:pt>
                <c:pt idx="3">
                  <c:v>2.8</c:v>
                </c:pt>
              </c:numCache>
            </c:numRef>
          </c:val>
        </c:ser>
        <c:ser>
          <c:idx val="3"/>
          <c:order val="3"/>
          <c:spPr>
            <a:ln w="12700">
              <a:solidFill>
                <a:schemeClr val="bg1">
                  <a:lumMod val="95000"/>
                </a:schemeClr>
              </a:solidFill>
            </a:ln>
            <a:scene3d>
              <a:camera prst="orthographicFront"/>
              <a:lightRig rig="threePt" dir="t"/>
            </a:scene3d>
            <a:sp3d contourW="12700"/>
          </c:spPr>
          <c:explosion val="0"/>
          <c:dPt>
            <c:idx val="0"/>
            <c:bubble3D val="0"/>
            <c:spPr>
              <a:solidFill>
                <a:schemeClr val="accent1"/>
              </a:solidFill>
              <a:ln w="12700">
                <a:solidFill>
                  <a:schemeClr val="bg1">
                    <a:lumMod val="95000"/>
                  </a:schemeClr>
                </a:solidFill>
              </a:ln>
              <a:effectLst/>
              <a:scene3d>
                <a:camera prst="orthographicFront"/>
                <a:lightRig rig="threePt" dir="t"/>
              </a:scene3d>
              <a:sp3d contourW="12700"/>
            </c:spPr>
          </c:dPt>
          <c:dPt>
            <c:idx val="1"/>
            <c:bubble3D val="0"/>
            <c:spPr>
              <a:solidFill>
                <a:schemeClr val="accent2"/>
              </a:solidFill>
              <a:ln w="12700">
                <a:solidFill>
                  <a:schemeClr val="bg1">
                    <a:lumMod val="95000"/>
                  </a:schemeClr>
                </a:solidFill>
              </a:ln>
              <a:effectLst/>
              <a:scene3d>
                <a:camera prst="orthographicFront"/>
                <a:lightRig rig="threePt" dir="t"/>
              </a:scene3d>
              <a:sp3d contourW="12700"/>
            </c:spPr>
          </c:dPt>
          <c:dPt>
            <c:idx val="2"/>
            <c:bubble3D val="0"/>
            <c:spPr>
              <a:solidFill>
                <a:schemeClr val="accent3"/>
              </a:solidFill>
              <a:ln w="12700">
                <a:solidFill>
                  <a:schemeClr val="bg1">
                    <a:lumMod val="95000"/>
                  </a:schemeClr>
                </a:solidFill>
              </a:ln>
              <a:effectLst/>
              <a:scene3d>
                <a:camera prst="orthographicFront"/>
                <a:lightRig rig="threePt" dir="t"/>
              </a:scene3d>
              <a:sp3d contourW="12700"/>
            </c:spPr>
          </c:dPt>
          <c:dPt>
            <c:idx val="3"/>
            <c:bubble3D val="0"/>
            <c:spPr>
              <a:solidFill>
                <a:schemeClr val="accent4"/>
              </a:solidFill>
              <a:ln w="12700">
                <a:solidFill>
                  <a:schemeClr val="bg1">
                    <a:lumMod val="95000"/>
                  </a:schemeClr>
                </a:solidFill>
              </a:ln>
              <a:effectLst/>
              <a:scene3d>
                <a:camera prst="orthographicFront"/>
                <a:lightRig rig="threePt" dir="t"/>
              </a:scene3d>
              <a:sp3d contourW="127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{2,2,3,5}</c:f>
              <c:numCache>
                <c:formatCode>General</c:formatCode>
                <c:ptCount val="4"/>
                <c:pt idx="0">
                  <c:v>2</c:v>
                </c:pt>
                <c:pt idx="1">
                  <c:v>2</c:v>
                </c:pt>
                <c:pt idx="2">
                  <c:v>3</c:v>
                </c:pt>
                <c:pt idx="3">
                  <c:v>5</c:v>
                </c:pt>
              </c:numCache>
            </c:numRef>
          </c:val>
        </c:ser>
        <c:dLbls>
          <c:showLegendKey val="0"/>
          <c:showVal val="0"/>
          <c:showCatName val="0"/>
          <c:showSerName val="0"/>
          <c:showPercent val="1"/>
          <c:showBubbleSize val="0"/>
        </c:dLbls>
      </c:pie3DChart>
      <c:spPr>
        <a:noFill/>
        <a:ln>
          <a:noFill/>
        </a:ln>
        <a:effectLst/>
      </c:spPr>
    </c:plotArea>
    <c:legend>
      <c:legendPos val="b"/>
      <c:layout>
        <c:manualLayout>
          <c:xMode val="edge"/>
          <c:yMode val="edge"/>
          <c:x val="0.165526315789474"/>
          <c:y val="0.862803579037069"/>
          <c:w val="0.668947368421053"/>
          <c:h val="0.12462718363868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aba320c4-0659-484c-8ac2-8d3e7eb6904c}"/>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"财政拨款总收入（万元）"</c:f>
              <c:strCache>
                <c:ptCount val="1"/>
                <c:pt idx="0">
                  <c:v>财政拨款总收入（万元）</c:v>
                </c:pt>
              </c:strCache>
            </c:strRef>
          </c:tx>
          <c:spPr>
            <a:ln w="28575" cap="rnd">
              <a:solidFill>
                <a:schemeClr val="accent1"/>
              </a:solidFill>
              <a:round/>
            </a:ln>
            <a:effectLst/>
          </c:spPr>
          <c:marker>
            <c:symbol val="none"/>
          </c:marker>
          <c:dLbls>
            <c:delete val="1"/>
          </c:dLbls>
          <c:cat>
            <c:strRef>
              <c:f>[工作簿1]Sheet1!$B$77:$C$77</c:f>
              <c:strCache>
                <c:ptCount val="2"/>
                <c:pt idx="0">
                  <c:v>2022年度</c:v>
                </c:pt>
                <c:pt idx="1">
                  <c:v>2023年度</c:v>
                </c:pt>
              </c:strCache>
            </c:strRef>
          </c:cat>
          <c:val>
            <c:numRef>
              <c:f>[工作簿1]Sheet1!$B$78:$C$78</c:f>
              <c:numCache>
                <c:formatCode>General</c:formatCode>
                <c:ptCount val="2"/>
                <c:pt idx="0">
                  <c:v>99.5</c:v>
                </c:pt>
                <c:pt idx="1">
                  <c:v>797.56</c:v>
                </c:pt>
              </c:numCache>
            </c:numRef>
          </c:val>
          <c:smooth val="0"/>
        </c:ser>
        <c:dLbls>
          <c:showLegendKey val="0"/>
          <c:showVal val="0"/>
          <c:showCatName val="0"/>
          <c:showSerName val="0"/>
          <c:showPercent val="0"/>
          <c:showBubbleSize val="0"/>
        </c:dLbls>
        <c:marker val="0"/>
        <c:smooth val="0"/>
        <c:axId val="302103338"/>
        <c:axId val="387945970"/>
      </c:lineChart>
      <c:catAx>
        <c:axId val="3021033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945970"/>
        <c:crosses val="autoZero"/>
        <c:auto val="1"/>
        <c:lblAlgn val="ctr"/>
        <c:lblOffset val="100"/>
        <c:noMultiLvlLbl val="0"/>
      </c:catAx>
      <c:valAx>
        <c:axId val="38794597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1033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bf41092-9f21-4351-a9f3-72c0a351716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3388</Words>
  <Characters>5167</Characters>
  <TotalTime>4</TotalTime>
  <ScaleCrop>false</ScaleCrop>
  <LinksUpToDate>false</LinksUpToDate>
  <CharactersWithSpaces>5613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2023-11-30T15:54:00Z</dcterms:created>
  <dc:creator>Administrator</dc:creator>
  <cp:lastModifiedBy>WPS_1625883245</cp:lastModifiedBy>
  <cp:lastPrinted>2024-10-18T08:45:00Z</cp:lastPrinted>
  <dcterms:modified xsi:type="dcterms:W3CDTF">2024-12-20T00:26:10Z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2024-08-22T15:27:57Z</vt:filetime>
  </property>
  <property fmtid="{D5CDD505-2E9C-101B-9397-08002B2CF9AE}" pid="4" name="KSOProductBuildVer">
    <vt:lpwstr>2052-12.1.0.19302</vt:lpwstr>
  </property>
  <property fmtid="{D5CDD505-2E9C-101B-9397-08002B2CF9AE}" pid="5" name="ICV">
    <vt:lpwstr>00C19C4B3E814DF693A267C814C713EB_13</vt:lpwstr>
  </property>
</Properties>
</file>